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P/173/2024 vom 26. November 2024</w:t>
      </w:r>
    </w:p>
    <w:p>
      <w:r>
        <w:t>GE Cour de justice, 2024-11-26, FR</w:t>
      </w:r>
    </w:p>
    <w:p>
      <w:r>
        <w:rPr>
          <w:b/>
        </w:rPr>
        <w:t xml:space="preserve">Quelle: </w:t>
      </w:r>
      <w:r>
        <w:t>https://mcp.opencaselaw.ch/entscheid/ge_gerichte_P_173_2024</w:t>
      </w:r>
    </w:p>
    <w:p>
      <w:r>
        <w:t>FR: GE_GERICHTE P/173/2024 du 26 novembre 2024</w:t>
      </w:r>
    </w:p>
    <w:p>
      <w:r>
        <w:t>IT: GE_GERICHTE P/173/2024 del 26 novembre 2024</w:t>
      </w:r>
    </w:p>
    <w:p>
      <w:pPr>
        <w:pStyle w:val="Heading2"/>
      </w:pPr>
      <w:r>
        <w:t>Regeste</w:t>
      </w:r>
    </w:p>
    <w:p>
      <w:r>
        <w:t>DÉCISION D'IRRECEVABILITÉ;INFRACTIONS CONTRE LE PATRIMOINE;VIOLATION DU SECRET DE FABRICATION OU COMMERCIAL;SECRET D'AFFAIRES;VIOLATION DU SECRET PROFESSIONNEL(DROIT PÉNAL) | CPP.310; CP.144; CP.144bis; CP.162; LEFin.69</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 6B_496/2021 du 22 décembre 2021 consid. 5.3 ; 6B_212/2020 du 21 avril 2021 consid. 2.2). Dans le doute, lorsque les conditions d'une non-entrée en matière ne sont pas réalisées avec une certitude absolue, l'instruction doit être ouverte (ATF 143 IV 241 consid. 2.2.1 ; 138 IV 86 consid. 4.1 ; arrêts du Tribunal fédéral 6B_488/2021 , 6B_496/2021 du 22 décembre 2021 précité consid. 5.3; 6B_212/2020 du 21 avril 2021 précité consid. 2.2). Il doit ainsi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3.2</w:t>
      </w:r>
    </w:p>
    <w:p>
      <w:r>
        <w:t>L'art. 162 CP punit, sur plainte, quiconque révèle un secret de fabrication ou un secret commercial qu'il est tenu de garder en vertu d'une obligation légale ou contractuelle, et quiconque utilise cette révélation à son profit ou à celui d'un tiers.</w:t>
      </w:r>
    </w:p>
    <w:p>
      <w:r>
        <w:rPr>
          <w:b/>
        </w:rPr>
        <w:t>E. 3.2.1</w:t>
      </w:r>
    </w:p>
    <w:p>
      <w:r>
        <w:t>Le secret commercial englobe les informations qui peuvent jouer un rôle sur le résultat commercial, notamment les fournisseurs et les clients, l'organisation interne – à l'exclusion toutefois d'un cartel illicite –, les stratégies commerciales et les plans d'entreprise, les listes de clients et autres relations commerciales (ATF 142 II 268 consid. 5.2.4; ATF 109 Ib 47 consid. 5c; 103 IV 283 consid. 2b).</w:t>
      </w:r>
    </w:p>
    <w:p>
      <w:r>
        <w:rPr>
          <w:b/>
        </w:rPr>
        <w:t>E. 3.2.2</w:t>
      </w:r>
    </w:p>
    <w:p>
      <w:r>
        <w:t>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 L. MOREILLON / N. QUELOZ (éds), Commentaire romand, Code pénal II, vol. II, Partie spéciale : art. 111-392 CP, Bâle 2017 , n. 23 ss ad art. 162). Selon la jurisprudence, lorsque l'accès aux informations est licite, notamment dans le cadre de l'exécution d'un contrat de travail, seule une sanction civile fondée sur la clause générale (art. 2 LCD auquel ne renvoie pas l'art. 23 LCD) peut donc entrer en considération, l'application de l'art. 162 CP (violation du secret de fabrication ou du secret commercial) étant par ailleurs exclue lorsque la personne tenue au secret utilise les informations à son propre profit (ATF 109 Ib 47 consid. 5c; arrêts du Tribunal fédéral 6B_201/2021 du 6 septembre 2021 consid. 4.1 et 6P.137/2006 du 23 novembre 2006 consid. 6.1 et 6.3).</w:t>
      </w:r>
    </w:p>
    <w:p>
      <w:r>
        <w:rPr>
          <w:b/>
        </w:rPr>
        <w:t>E. 3.2.3</w:t>
      </w:r>
    </w:p>
    <w:p>
      <w:r>
        <w:t>Il s'agit d'une infraction intentionnelle. L'intention de l'auteur doit porter sur le fait de communiquer un secret à une personne non autorisée et, en conséquence, de violer ainsi les devoirs lui incombant. En particulier, il doit donc avoir conscience du caractère secret de l'information transmise (arrêt du Tribunal fédéral 1B_284/2012 du 29 octobre 2012 consid. 4.2; A. MACALUSO / L. MOREILLON / N. QUELOZ (éds), op. cit., n. 15 ad art. 162).</w:t>
      </w:r>
    </w:p>
    <w:p>
      <w:r>
        <w:rPr>
          <w:b/>
        </w:rPr>
        <w:t>E. 3.3</w:t>
      </w:r>
    </w:p>
    <w:p>
      <w:r>
        <w:t>L'art. 69 al. 1 LEFin punit quiconque, intentionnellement, révèle un secret qui lui a été confié ou dont il a eu connaissance en sa qualité d'organe, d'employé, de mandataire ou de liquidateur d'un établissement financier (let. a); tente d'inciter autrui à commettre une telle violation du secret professionnel (let. b); révèle à d'autres personnes un secret qui lui a été confié en violation de la let. a ou exploite ce secret à son profit ou au profit d'un tiers (let. c).</w:t>
      </w:r>
    </w:p>
    <w:p>
      <w:r>
        <w:rPr>
          <w:b/>
        </w:rPr>
        <w:t>E. 3.4</w:t>
      </w:r>
    </w:p>
    <w:p>
      <w:r>
        <w:t>L'art. 144bis CP punit quiconque, sans droit, modifie, efface ou met hors d'usage des données enregistrées ou transmises électroniquement. L’infraction concerne les données enregistrées ou transmises électroniquement ou selon un mode similaire (ces notions étant les mêmes que celles de l'art. 143 CP; A. MACALUSO / L. MOREILLON / N. QUELOZ (éds), op. cit., n. 2 ad art. 143 et n. 2 ad art. 144bis). Les mots « données transmises » désignent, en marge des « données enregistrées », les informations « lors de la phase de transmission ». La protection pénale n’est cependant donnée qu’à partir du moment où les informations ont été – en quelque sorte au préalable – « informatisées », soit introduites dans un système de traitement de données. Toutefois, cette phase de saisie des données fait elle-même aussi l’objet de la protection pénale. La donnée doit se trouver au départ ou parvenir au sein d’un système informatique (A. MACALUSO / L. MOREILLON / N. QUELOZ (éds), op. cit., n. 5 ad art. 143).</w:t>
      </w:r>
    </w:p>
    <w:p>
      <w:r>
        <w:rPr>
          <w:b/>
        </w:rPr>
        <w:t>E. 3.5</w:t>
      </w:r>
    </w:p>
    <w:p>
      <w:r>
        <w:t>) et au vu de l'acte reproché, se pose la question de savoir dans quelle mesure la recourante aurait subi une atteinte à un intérêt légitime du fait de leur éventuelle destruction. Elle ne s'est jamais prévalue d'un tel intérêt qui, au vu des termes de sa plainte – laquelle vise plutôt la confiscation auprès de la mise en cause des informations contenues dans les échanges –, semble douteux. La protection d'un intérêt légitime prévue par l'art. 144 CP n'apparaît ainsi pas manifeste, dans le cas d'espèce (cf. dans ce sens ACPR/509/2016 du 16 août 2016 consid. 5.2.). D'autant moins que l'éventuelle destruction décriée n'aurait pas eu pour conséquence de priver la recourante de la possibilité d'accéder aux courriels et documents informatiques, ce qui n'est au demeurant pas contesté. Ainsi, la décision de non-entrée en matière est justifiée, le litige entre les parties – relatif à la violation d'une éventuelle clause du contrat de travail liée avec une prohibition de faire concurrence – apparaissant de nature purement civile.</w:t>
      </w:r>
    </w:p>
    <w:p>
      <w:r>
        <w:rPr>
          <w:b/>
        </w:rPr>
        <w:t>E. 3.6</w:t>
      </w:r>
    </w:p>
    <w:p>
      <w:r>
        <w:t>En l'espèce, la recourante considère que la mise en cause avait détenu des " centaines " de documents confidentiels lui appartenant de manière indue, qu'elle aurait utilisés de manière contraire aux art. 162 CP et 69 LEFin.</w:t>
      </w:r>
    </w:p>
    <w:p>
      <w:r>
        <w:rPr>
          <w:b/>
        </w:rPr>
        <w:t>E. 3.6.1</w:t>
      </w:r>
    </w:p>
    <w:p>
      <w:r>
        <w:t>Tout d'abord, il est relevé que la seule possession de tels documents ne contrevient pas aux dispositions précitées et, pourrait, tout au plus, éventuellement constituer une violation des normes contractuelles conclues entre les parties, à l'exclusion de toute norme pénale.</w:t>
      </w:r>
    </w:p>
    <w:p>
      <w:r>
        <w:rPr>
          <w:b/>
        </w:rPr>
        <w:t>E. 3.6.2</w:t>
      </w:r>
    </w:p>
    <w:p>
      <w:r>
        <w:t>L'obtention desdits documents par la mise en cause durant ses rapports de travail avec la recourante, a fortiori des informations qu'ils contenaient, apparaît licite. Rien ne permet en effet d'infirmer les explications de l'intéressée, selon lesquelles, elle les avait imprimés dans le cadre de son activité, afin de pouvoir travailler à domicile. La recourante ne conteste pas non plus que son ancienne employée avait accès informatiquement aux données clients de la société via son ordinateur professionnel et à domicile grâce à une connexion à distance. Ce constat s'applique également à la pièce n. 42, malgré les doutes émis par la recourante, dans la mesure où la mise en cause était l'une des personnes impliquées dans la discussion. Pour ce qui est du document transmis par une ancienne collègue – vraisemblablement la pièce n. 48 –, les échanges datent de mars 2022, soit une période à laquelle la mise en cause exerçait encore au sein de la recourante et avait accès aux informations. À cet égard également, la norme pénale est exclue.</w:t>
      </w:r>
    </w:p>
    <w:p>
      <w:r>
        <w:rPr>
          <w:b/>
        </w:rPr>
        <w:t>E. 3.6.3</w:t>
      </w:r>
    </w:p>
    <w:p>
      <w:r>
        <w:t>Pour ce qui est des documents produits par-devant le TPH, ils sont caviardés, de sorte qu'à leur lecture, seuls des prénoms ou des initiales, voire des mots de codes sont lisibles, lesquels ne permettent pas à des tiers de connaître l'identité des clients concernés, ni celle des destinataires ou auteurs des échanges en question, y compris mis en lien avec les éventuelles autres informations figurant dans les courriels. Partant, les pièces litigieuses – qui sont principalement des échanges de courriels émanant de la mise en cause ou adressés à elle – ne sont pas propres à révéler de secret au sens des normes pénales précitées. On rappellera que ces pièces ont été spontanément produites par la mise en cause devant la juridiction des prud'hommes pour se défendre, dans le cadre de la procédure dirigée à son encontre par son ancien employeur. Ce faisant, la mise en cause a pris soin au préalable de caviarder les informations qu'elle estimait confidentielles. On peine au demeurant à penser qu'elle aurait pris le risque de divulguer des informations couvertes par le secret commercial devant son propre employeur. C'est dès lors à juste titre que le Ministère public a retenu l'absence d'intention de divulgation d'un secret, même par dol éventuel, de la mise en cause.</w:t>
      </w:r>
    </w:p>
    <w:p>
      <w:r>
        <w:rPr>
          <w:b/>
        </w:rPr>
        <w:t>E. 3.6.4</w:t>
      </w:r>
    </w:p>
    <w:p>
      <w:r>
        <w:t>Par ailleurs, hormis les soupçons émis par la recourante, étayés par aucun élément probant, il n'existe aucun indice au dossier que la mise en cause aurait, en particulier, transféré ou divulgué à des tiers non autorisés des " centaines " de documents couverts par le secret qu'elle aurait eu ou aurait encore en sa possession, de sorte qu'une prévention suffisante d'infractions aux art. 162 CP et 69 LEFin fait défaut. Ce constat demeure même au regard de l'allégation de la perte de certains clients de la recourante au profit de C______ SA, que, là-encore, aucune preuve au dossier ne permet de corroborer. D'ailleurs quand bien même tel aurait été le cas, cela ne signifie pas pour autant que son origine serait une révélation de secrets par la mise en cause. Il ressort en effet de la pièce n. 37 que, à tout le moins, certains clients de A______ avaient été informés du départ de B______, sans que cette dernière soit à l'origine de la nouvelle. Du reste, le fait d'avertir les clients dont elle s'occupait, de son futur départ, ne signifie pas pour autant que la mise en cause aurait tenté de les démarcher. Les circonstances du changement d'emploi de la mise en cause, notamment les quelques mois entre les deux emplois, ne permettent pas non plus d'affirmer ni même de soupçonner qu'elle aurait révélé à son nouvel employeur des secrets commerciaux sur la recourante. L'argumentation de cette dernière s'épuise à cet égard en de pures conjectures qu'aucun élément au dossier ne vient corroborer. Au vu de ce qui précède, les actes d'enquête sollicités ne sont pas de nature à apporter des éléments complémentaires probants. En particulier, ceux en lien avec les messageries électroniques privées de la mise en cause pourraient même s'apparenter à de la recherche indéterminée de preuve, prohibée par l'art. 197 CPP, aucun élément objectif au dossier ne permettant de soupçonner que l'intéressée aurait transféré ou reçu des informations ne serait-ce que professionnelles via ces canaux. Il en va de même pour l'ensemble du matériel informatique lui appartenant. Pour ce qui est enfin des actes d'enquête en lien avec E______, il est relevé que le seul échange de courriels transféré à la mise en cause n'a pas été considéré comme contrevenant à une norme pénale (cf. supra ).</w:t>
      </w:r>
    </w:p>
    <w:p>
      <w:r>
        <w:rPr>
          <w:b/>
        </w:rPr>
        <w:t>E. 3.7</w:t>
      </w:r>
    </w:p>
    <w:p>
      <w:r>
        <w:t>La recourante reproche également à la mise en cause la destruction de documents lui appartenant.</w:t>
      </w:r>
    </w:p>
    <w:p>
      <w:r>
        <w:rPr>
          <w:b/>
        </w:rPr>
        <w:t>E. 3.7.1</w:t>
      </w:r>
    </w:p>
    <w:p>
      <w:r>
        <w:t>Au vu de la nature des pièces litigieuses – version imprimées de courriels échangés entre la mise en cause et des clients de la recourante ou entre employés de celle-ci –, les documents en question ne constituent pas des données enregistrées ou transmises électroniquement au sens de l'art. 144 bis CP. Il n'a par ailleurs jamais été reproché à la mise en cause la destruction des courriels informatiques, seul acte pouvant faire l'objet de la disposition précitée. Ainsi, l'infraction de détérioration de données n'est manifestement pas réalisée.</w:t>
      </w:r>
    </w:p>
    <w:p>
      <w:r>
        <w:rPr>
          <w:b/>
        </w:rPr>
        <w:t>E. 3.7.2</w:t>
      </w:r>
    </w:p>
    <w:p>
      <w:r>
        <w:t>Il en va de même de celle de dommages à la propriété (art. 144 CP), à supposer que la recourante ait entendu viser cette disposition dans sa plainte pénale, ce qui n'est nullement évident, vu la disposition citée (art. 144 bis CP). Conformément à la jurisprudence citée supra (cf. consid.</w:t>
      </w:r>
    </w:p>
    <w:p>
      <w:r>
        <w:rPr>
          <w:b/>
        </w:rPr>
        <w:t>E. 4</w:t>
      </w:r>
    </w:p>
    <w:p>
      <w:r>
        <w:t>Justifiée, l'ordonnance querellée sera donc confirmée.</w:t>
      </w:r>
    </w:p>
    <w:p>
      <w:r>
        <w:rPr>
          <w:b/>
        </w:rPr>
        <w:t>E. 5</w:t>
      </w:r>
    </w:p>
    <w:p>
      <w:r>
        <w:t>La recourante, qui succombe, supportera les frais envers l'État,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