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P/17308/2019 vom 23. August 2019</w:t>
      </w:r>
    </w:p>
    <w:p>
      <w:r>
        <w:t>GE Cour de justice, 2019-08-23, FR</w:t>
      </w:r>
    </w:p>
    <w:p>
      <w:r>
        <w:rPr>
          <w:b/>
        </w:rPr>
        <w:t xml:space="preserve">Quelle: </w:t>
      </w:r>
      <w:r>
        <w:t>https://mcp.opencaselaw.ch/entscheid/ge_gerichte_P_17308_2019</w:t>
      </w:r>
    </w:p>
    <w:p>
      <w:r>
        <w:t>FR: GE_GERICHTE P/17308/2019 du 23 août 2019</w:t>
      </w:r>
    </w:p>
    <w:p>
      <w:r>
        <w:t>IT: GE_GERICHTE P/17308/2019 del 23 agosto 2019</w:t>
      </w:r>
    </w:p>
    <w:p>
      <w:pPr>
        <w:pStyle w:val="Heading2"/>
      </w:pPr>
      <w:r>
        <w:t>Regeste</w:t>
      </w:r>
    </w:p>
    <w:p>
      <w:r>
        <w:t>DÉTENTION PROVISOIRE;SOUPÇON;DÉTENTION POUR DES MOTIFS DE SÛRETÉ;VOL(DROIT PÉNAL);PROPORTIONNALITÉ | CPP.221; CP.139; CP.172ter</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nonobstant le prononcé ultérieur de sa mise en détention pour motifs de sûreté (cf. ACPR/283/2016 du 13 mai 2016 consid. 1.2).</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Se rend coupable de vol celui qui, pour se procurer ou procurer à un tiers un enrichissement illégitime, aura soustrait une chose mobilière appartenant à autrui dans le but de se l'approprier (art. 139 ch. 1 CP).</w:t>
      </w:r>
    </w:p>
    <w:p>
      <w:r>
        <w:rPr>
          <w:b/>
        </w:rPr>
        <w:t>E. 2.3</w:t>
      </w:r>
    </w:p>
    <w:p>
      <w:r>
        <w:t>Selon l'art. 172 ter CP, si l'acte ne visait qu'un élément patrimonial de faible valeur ou un dommage de moindre importance, l'auteur sera, sur plainte, puni d'une amende. Dans l'application de l'art. 172 ter al. 1 CP, c'est la valeur marchande de la chose qui est et reste déterminante (ATF 122 IV 261 consid. 2c p. 266). La fixation du cas bagatelle a été fixée par le Tribunal fédéral à CHF 300.- (ATF 122 IV 261 consid. 2d p 268). Seul le but poursuivi par l'auteur détermine si l'infraction est d'importance mineure (ATF 123 IV 113 consid. 3d ; 122 IV 156 consid. 2a p. 160). L'application de l'art. 172ter al. 1 CP n'est pas absolument exclue dans le cas de vols à la tire, p. ex. si l'auteur avait vu sa victime empocher un billet de CHF 100.- et qu'il le lui subtilise ensuite dans le porte-monnaie (ATF 123 IV 155 consid. 1b p. 157). Dans ce cas en effet, il n'agit pas avec l'intention de s'emparer indifféremment de tout ce qui se trouverait dans les effets de la victime, autrement dit dans le but de constituer le plus gros butin possible. L'art. 172 ter CP ne s'applique pas à celui dont le comportement délictueux indique qu'il avait l'intention de s'attaquer à des valeurs patrimoniales importantes, mais qui, pour un motif quelconque, n'a finalement porté atteinte qu'à un élément de faible valeur (FF 1991 II 933 1048 ; M. DUPUIS / B. GELLER / G. MONNIER / L. MOREILLON / C. PIGUET / S. BERGER / M. MAZOU / V. RODIGARI (éds), Code pénal - Petit commentaire, 2ème éd. , Bâle 2017, N. 9 AD art. 172ter CP). Tel est par exemple le cas de celui qui commet des vols à la tire dans les transports publics, ne serait-ce que parce que la valeur soustraite ne se limite pas à celle de l'argent liquide, mais englobe celle des cartes de crédit et documents officiels, voire celle du porte-monnaie lui-même (ATF 123 IV 197 consid. 2c p. 201).</w:t>
      </w:r>
    </w:p>
    <w:p>
      <w:r>
        <w:rPr>
          <w:b/>
        </w:rPr>
        <w:t>E. 2.4</w:t>
      </w:r>
    </w:p>
    <w:p>
      <w:r>
        <w:t>En l'espèce, le recourant a été prévenu, notamment, de vol (art. 139 ch. 1 CP). S'il ne conteste pas la matérialité des faits, il estime que l'acte ne visait qu'un élément patrimonial de faible valeur, au sens de l'art. 172 ter CP, de sorte que l'infraction n'était punissable que d'une amende, soit d'une contravention. À tort. Il a été interpellé alors qu'il venait de fouiller un véhicule et d'y dérober deux cartes bancaires. Il a admis les faits, expliquant avoir agi pour trouver de l'argent pour manger. Peu importe qu'il ne se soit approprié que ces cartes bancaires puisqu'il doit être retenu, conformément aux principes jurisprudentiels sus-cités, que l'intention du recourant était à l'évidence d'obtenir une somme plus élevée, ce que l'utilisation subséquente desdites cartes bancaires démontre au demeurant. L'art. 172 ter CP paraît donc inapplicable. La détention provisoire du recourant pouvait par conséquent être prononcée sur la base, notamment, des soupçons de vol sus-évoqués. Quant aux soupçons de rupture de ban, ils apparaissent suffisants à ce stade, étant relevé qu'il n'appartient pas à la Chambre de céans mais au juge du fond de déterminer si la culpabilité du recourant sur ce point est fondée ou non.</w:t>
      </w:r>
    </w:p>
    <w:p>
      <w:r>
        <w:rPr>
          <w:b/>
        </w:rPr>
        <w:t>E. 3</w:t>
      </w:r>
    </w:p>
    <w:p>
      <w:r>
        <w:t>Le recourant ne remet pas en cause les risques de fuite et réitération retenus par le premier juge, de sorte qu'il n'y a pas lieu de les réexaminer, étant précisé qu'aucune mesure de substitution - que le recourant ne propose du reste plus - n'est apte à les pallier.</w:t>
      </w:r>
    </w:p>
    <w:p>
      <w:r>
        <w:rPr>
          <w:b/>
        </w:rPr>
        <w:t>E. 4</w:t>
      </w:r>
    </w:p>
    <w:p>
      <w:r>
        <w:t>Le recourant conteste la proportionnalité de sa détention provisoire.</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4.2</w:t>
      </w:r>
    </w:p>
    <w:p>
      <w:r>
        <w:t>En l'occurrence, le recourant a été interpellé le 22 août 2019 et sera jugé le 30 septembre prochain. Sa détention provisoire pour motifs de sûreté a, dans l'intervalle, été prononcée. Le vol étant, à lui seul, un crime (art. 139 ch. 1 cum 10 al. 2 CP), la peine menace à laquelle le recourant s'expose est conséquente, compte tenu par ailleurs de ses antécédents judiciaires, étant relevé que le Ministère public a prononcé à son encontre, dans l'ordonnance pénale devenue acte d'accusation, une peine privative de liberté de 180 jours. Partant, la durée de la détention provisoire subie reste parfaitement proportionnée.</w:t>
      </w:r>
    </w:p>
    <w:p>
      <w:r>
        <w:rPr>
          <w:b/>
        </w:rPr>
        <w:t>E. 5</w:t>
      </w:r>
    </w:p>
    <w:p>
      <w:r>
        <w:t>Le recours s'avère ainsi infondé et doit être rejeté.</w:t>
      </w:r>
    </w:p>
    <w:p>
      <w:r>
        <w:rPr>
          <w:b/>
        </w:rPr>
        <w:t>E. 6</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