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P/17259/2024 vom 17. Oktober 2024</w:t>
      </w:r>
    </w:p>
    <w:p>
      <w:r>
        <w:t>GE Cour de justice, 2024-10-17, FR</w:t>
      </w:r>
    </w:p>
    <w:p>
      <w:r>
        <w:rPr>
          <w:b/>
        </w:rPr>
        <w:t xml:space="preserve">Quelle: </w:t>
      </w:r>
      <w:r>
        <w:t>https://mcp.opencaselaw.ch/entscheid/ge_gerichte_P_17259_2024</w:t>
      </w:r>
    </w:p>
    <w:p>
      <w:r>
        <w:t>FR: GE_GERICHTE P/17259/2024 du 17 octobre 2024</w:t>
      </w:r>
    </w:p>
    <w:p>
      <w:r>
        <w:t>IT: GE_GERICHTE P/17259/2024 del 17 ottobre 2024</w:t>
      </w:r>
    </w:p>
    <w:p>
      <w:pPr>
        <w:pStyle w:val="Heading2"/>
      </w:pPr>
      <w:r>
        <w:t>Regeste</w:t>
      </w:r>
    </w:p>
    <w:p>
      <w:r>
        <w:t>ACCIDENT DE LA CIRCULATION;NÉGLIGENCE;SOUPÇON | CPP.310.al1.leta; CP.125; LCR.26.al1; LCR.34.al3; LCR.44.al1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sont recevables, la jurisprudence admettant leur production en deuxième instance (arrêt du Tribunal fédéral 1B_550/2022 du 17 novembre 2022 consid. 2.1).</w:t>
      </w:r>
    </w:p>
    <w:p>
      <w:r>
        <w:rPr>
          <w:b/>
        </w:rPr>
        <w:t>E. 2</w:t>
      </w:r>
    </w:p>
    <w:p>
      <w:r>
        <w:t>La recourante reproche au Ministère public de ne pas avoir ouvert une instruction.</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w:t>
      </w:r>
    </w:p>
    <w:p>
      <w:r>
        <w:rPr>
          <w:b/>
        </w:rPr>
        <w:t>E. 2.2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(arrêt du Tribunal fédéral 6B_976/2023 du 29 novembre 2023 consid. 1.2).</w:t>
      </w:r>
    </w:p>
    <w:p>
      <w:r>
        <w:rPr>
          <w:b/>
        </w:rPr>
        <w:t>E. 2.2.1</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w:t>
      </w:r>
    </w:p>
    <w:p>
      <w:r>
        <w:rPr>
          <w:b/>
        </w:rPr>
        <w:t>E. 2.2.2</w:t>
      </w:r>
    </w:p>
    <w:p>
      <w:r>
        <w:t>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 Un comportement est la cause naturelle d'un résultat s'il en constitue l'une des conditions sine qua non , c'est-à-dire si, sans lui, le résultat ne se serait pas produit (ATF 133 IV 158 consid. 6.1).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2.3.1. Selon l'art. 26 al. 1 LCR,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143 IV 500 consid. 1.2.4; 143 IV 138 consid. 2.1). 2.3.2 .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En outre, d'après l'art. 44 al. 1 LCR, sur les routes marquées de plusieurs voies pour une même direction, le conducteur ne peut passer d’une voie à une autre que s’il n’en résulte pas de danger pour les autres usagers de la route. 2.3.3. Les voies réservées aux bus, qui sont délimitées par des lignes jaunes continues ou discontinues et qui portent l’inscription jaune " BUS " (6.08), ne peuvent être utilisées que par des bus publics en trafic de ligne et, le cas échéant, par des trams ou chemins de fer routiers; est réservée toute dérogation indiquée par une marque ou un signal. Les autres véhicules ne doivent pas emprunter les voies réservées aux bus; au besoin (p. ex. pour obliquer), ils peuvent toutefois les franchir lorsqu’elles sont délimitées par une ligne jaune discontinue (art. 74b OSR).</w:t>
      </w:r>
    </w:p>
    <w:p>
      <w:r>
        <w:rPr>
          <w:b/>
        </w:rPr>
        <w:t>E. 2.4</w:t>
      </w:r>
    </w:p>
    <w:p>
      <w:r>
        <w:t>En l'occurrence, le Ministère public retient que l'impossibilité d'établir l'existence d'un heurt entre les véhicules des protagonistes exclurait d'emblée une prévention pénale du chef de lésions corporelles par négligence (art. 125 CP) contre l'automobiliste. Ce raisonnement ne saurait, en l'état, être suivi. En effet, l'automobiliste a lui-même déclaré, lors de son audition à la police, qu'un choc entre sa voiture et le motocycle conduit par la recourante avait eu lieu, au vu des légers dégâts présents sur le pare-chocs arrière droit de son véhicule. Ces dégâts ont d'ailleurs également été constatés par les policiers intervenus sur place, lesquels ont fait état, dans leur rapport, de " traces de griffures " sur le côté arrière droit de la voiture " correspondant, en hauteur, avec le cale-pied du côté gauche et la béquille centrale du motocycle ". Il s'ensuit que l'existence d'un choc entre les parties ne peut, à ce stade, être exclue. Par ailleurs, la recourante soutient qu'elle était en droit – au regard de l'art. 74b OSR – de circuler sur la voie réservée aux bus, dès lors que la ligne jaune délimitant cette voie était discontinue à l'endroit où elle l'avait franchie, afin d'obliquer en direction du Lignon, ce qui semble a priori corroboré par le plan de situation produit par ses soins (cf. pièce 3). Dans ces circonstances, le fait qu'elle circulait sur une voie réservée aux bus au moment de l'accident ne paraît pas constituer un comportement tellement imprévisible qu'il ne pourrait être reproché au mis en cause de ne pas l'avoir anticipé. L'automobiliste devait donc s'attendre à ce que des véhicules se trouvent sur cette portion de voie de bus. Il ne semble toutefois pas avoir arrêté sa manœuvre à l'approche de la motocycliste, se contentant de déclarer qu'il ne l'avait pas vue, celle-ci se trouvant dans son angle mort. Or, l'automobiliste devait, conformément aux art. 26 al. 1, 34 al. 3 et 44 al. 1 LCR, prendre suffisamment garde aux autres usagers de la route au moment d'initier sa manœuvre pour obliquer à droite pour rejoindre la station-service. Cette manœuvre a causé un accident de la circulation, au cours duquel la recourante a subi diverses lésions – établies par documents médicaux –. Partant, la violation de ses devoirs de prudence par le mis en cause ne peut, à ce stade, être écartée. Il en irait de même à supposer qu'il n'y aurait pas eu de heurt, dès lors que la possibilité que sa manœuvre ait pu gêner la motocycliste et ainsi la contraindre à effectuer une manœuvre d'évitement au cours de laquelle elle a été blessée, ne pourrait, en l'état, être exclue (cf. en ce sens, ACPR/788/2022 du 10 novembre 2022 consid. 3.5 et 3.6). La prévention d'infraction de lésions corporelles par négligence paraît, ainsi, suffisante. Il convient dès lors de confronter les parties et procéder à l'audition du témoin ayant assisté à l'accident, dont les coordonnées figurent au dossier, car celui-ci est susceptible d'éclairer les circonstances de l'évènement, notamment l'emplacement des véhicules au moment de l'accident et l'éventuel heurt entre eux. Les photographies des lieux prises par la police et le croquis effectué par les agents peuvent également apporter un élément complémentaire probant, en particulier s'agissant du point de choc, et doivent être versés à la procédure. En conséquence, le Ministère public ne pouvait prononcer une ordonnance de non-entrée en matière, les conditions de l'art. 310 al. 1 let. a CPP n'étant pas réunies.</w:t>
      </w:r>
    </w:p>
    <w:p>
      <w:r>
        <w:rPr>
          <w:b/>
        </w:rPr>
        <w:t>E. 3</w:t>
      </w:r>
    </w:p>
    <w:p>
      <w:r>
        <w:t>Fondé, le recours doit être admis ; partant, l'ordonnance querellée sera annulée et la cause renvoyée au Ministère public pour l'ouverture d'une instruction dans le sens des considérants.</w:t>
      </w:r>
    </w:p>
    <w:p>
      <w:r>
        <w:rPr>
          <w:b/>
        </w:rPr>
        <w:t>E. 4</w:t>
      </w:r>
    </w:p>
    <w:p>
      <w:r>
        <w:t>L'admission du recours ne donne pas lieu à la perception de frais (art. 428 al. 1 CPP). Les sûretés versées par la recourante lui seront donc restituées.</w:t>
      </w:r>
    </w:p>
    <w:p>
      <w:r>
        <w:rPr>
          <w:b/>
        </w:rPr>
        <w:t>E. 5</w:t>
      </w:r>
    </w:p>
    <w:p>
      <w:r>
        <w:t>La recourante, qui obtient gain de cause, a demandé l'octroi d'une équitable indemnité valant participation à ses frais d'avocat, pour la procédure de recours.</w:t>
      </w:r>
    </w:p>
    <w:p>
      <w:r>
        <w:rPr>
          <w:b/>
        </w:rPr>
        <w:t>E. 5.1</w:t>
      </w:r>
    </w:p>
    <w:p>
      <w:r>
        <w:t>En vertu de l'art. 436 al. 1 CPP, les prétentions en indemnités dans les procédures de recours sont régies par les art. 429 à 434 CPP. L'art. 433 CPP prévoit l’octroi d’une juste indemnité à la partie plaignante pour les dépenses occasionnées par la procédure.</w:t>
      </w:r>
    </w:p>
    <w:p>
      <w:r>
        <w:rPr>
          <w:b/>
        </w:rPr>
        <w:t>E. 5.2</w:t>
      </w:r>
    </w:p>
    <w:p>
      <w:r>
        <w:t>Dans tous les cas, l'indemnité n'est due qu'à concurrence des dépenses occasionnées par l'exercice raisonnable des droits de procédure ( Message relatif à l'unification du droit de la procédure pénale du 21 décembre 2005 , FF 2006 1303, p. 1313 ; J. PITTELOUD, Code de procédure pénale suisse - Commentaire à l'usage des praticiens , Zurich/St-Gall 2012, n. 1349 p. 889).</w:t>
      </w:r>
    </w:p>
    <w:p>
      <w:r>
        <w:rPr>
          <w:b/>
        </w:rPr>
        <w:t>E. 5.3</w:t>
      </w:r>
    </w:p>
    <w:p>
      <w:r>
        <w:t>En l'espèce, la recourante conclut au versement d'une indemnité de CHF 3'537.60, correspondant, selon sa note d'honoraires, à 8h30 d'activité au tarif horaire de CHF 385.-, hors TVA. Eu égard au recours de quatorze pages, dont environ trois de discussion juridique, et à la très brève réplique, 5h00 d'activité au tarif horaire demandé, apparaissent suffisantes, compte tenu de la nature du litige. L'équitable indemnité sera ainsi fixée à CHF 2'080.90 (TVA à 8.1% incluse), laquelle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