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P/17258/2014 vom 2. November 2015</w:t>
      </w:r>
    </w:p>
    <w:p>
      <w:r>
        <w:t>GE Cour de justice, 2015-11-02, FR</w:t>
      </w:r>
    </w:p>
    <w:p>
      <w:r>
        <w:rPr>
          <w:b/>
        </w:rPr>
        <w:t xml:space="preserve">Quelle: </w:t>
      </w:r>
      <w:r>
        <w:t>https://mcp.opencaselaw.ch/entscheid/ge_gerichte_P_17258_2014</w:t>
      </w:r>
    </w:p>
    <w:p>
      <w:r>
        <w:t>FR: GE_GERICHTE P/17258/2014 du 2 novembre 2015</w:t>
      </w:r>
    </w:p>
    <w:p>
      <w:r>
        <w:t>IT: GE_GERICHTE P/17258/2014 del 2 novembre 2015</w:t>
      </w:r>
    </w:p>
    <w:p>
      <w:pPr>
        <w:pStyle w:val="Heading2"/>
      </w:pPr>
      <w:r>
        <w:t>Regeste</w:t>
      </w:r>
    </w:p>
    <w:p>
      <w:r>
        <w:t>PRÉSOMPTION D'INNOCENCE; LÉSION CORPORELLE; CONCOURS IMPARFAIT; FIXATION DE LA PEINE; SURSIS PARTIEL À L'EXÉCUTION DE LA PEINE; TORT MORAL; FRAIS DE LA PROCÉDURE | CPP.10; CP.123; CP.122; CP.47; CP.42; CP.43; CO.49; CPP.426.1</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2.2.1. Une lésion corporelle est grave notamment lorsque la victime a été blessée de façon à mettre sa vie en danger (art. 122 al. 1 du code pénal suisse du 21 décembre 1937 [CP - RS 311.0]). Cela suppose une blessure créant un danger immédiat de mort. La blessure subie doit être telle qu'à un certain moment, une issue fatale ait pu survenir, qu'elle a créé un état dans lequel la possibilité de la mort s'impose de manière telle qu'elle est vraisemblable, sérieuse et proche (ATF 131 IV 1 consid. 1.1 p. 3, 125 IV 242 consid. 2b/dd p. 247, 109 IV 18 consid. 2c p. 20). Pour trancher la question, il ne faut pas analyser le comportement dangereux adopté par l'auteur de la blessure, comme en cas de mise en danger de la vie d'autrui (art. 129 CP), mais bien la nature de la blessure effectivement causée (ATF 124 IV 53 consid. 2 p. 56). Est également l'auteur d'une lésion corporelle grave celui qui aura défiguré la victime d'une façon grave et permanence (art. 122 al. 2 CP in fine ). Les lésions corporelles graves, prévues et punies par l'art. 122 CP, constituent une infraction de résultat supposant une lésion du bien juridiquement protégé, et non une simple mise en danger. Il faut donc tout d'abord déterminer quelle est la lésion voulue (même sous la forme du dol éventuel) et obtenue (sous réserve de la tentative). Ce n'est qu'ensuite qu'il faut déterminer si ce résultat doit être qualifié de grave, afin de distinguer les hypothèses de l'art. 122 CPet celles de l'art. 123 CP(lésions corporelles simples). Cela résulte clairement de la formulation légale, selon laquelle l'auteur doit avoir « blessé une personne de façon à mettre sa vie en danger ». Il faut donc qu'il y ait une blessure et que celle-ci soit de nature à mettre la vie en danger. Le danger n'intervient que pour qualifier la blessure de grave ; il ne peut pas suppléer la blessure. 2.2.2. L'art. 123 CP réprime les lésions du corps humain ou de la santé qui ne peuvent être qualifiées de graves au sens de l'art. 122 CP. Cette disposition protège l'intégrité corporelle et la santé tant physique que psychique. Les lésions corporelles sont une infraction de résultat qui implique une atteinte importante aux biens juridiques ainsi protégés (ATF 134 IV 189 consid. 1.1 p. 191 ; ATF 135 IV 152 consid 2.1.1 p. 154). A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p. 191 ; ATF 107 IV 40 consid. 5c p. 42 ; ATF 103 IV 65 consid. 2c p. 70). Un coup de poing dans la figure ayant provoqué un hématome doit être sanctionné en application de l'art. 123 CP, parce qu'un hématome est la conséquence de la rupture d'un vaisseau sanguin, dommage qui est une lésion du corps humain, même si celle-ci est superficielle et de peu d'importance (ATF 119 IV 25 consid. 2a p. 27). 2.2.3. Il y a concours imparfait de lois lorsque, comme dans le cas de la spécialité, la définition légale d'une disposition spéciale renferme en elle-même tous les éléments constitutifs d'une disposition générale ou lorsque, comme dans le cas de l'absorption, l'une des deux dispositions considérées embrasse l'autre, sinon dans tous ses éléments constitutifs à tout le moins dans ses éléments essentiels que sont la culpabilité et l'illicéité, de telle sorte que cette disposition absorbe l'autre. Ce dernier critère dit de l'absorption peut être utilisé pour régler les rapports entre les infractions de mise en danger et celles de résultat (ATF 135 IV 152 consid. 2.1.2). La tentative par dol éventuel de causer des lésions corporelles graves prime les lésions corporelles réalisées (arrêt du Tribunal fédéral 6B_954/2010 du 10 mars 2011 consid. 3.4 ; M. Niggli / M. Heer / H. Wiprächtiger, Schweizerische Strafprozessordnung - Schweizerische Jugendstrafprozessordnung , Basler Kom-mentar StPO/JStPO, Bâle 2011, n. 28 ad art. 122). 2.3.1. En l'espèce, l'ensemble des lésions causées à la partie plaignante l'ont été au cours d'une seule et même bagarre, de sorte que la théorie des deux phases développée par le MP dans son réquisitoire en appel pour soutenir néanmoins le concours ne peut être suivie. D'ailleurs, ce déroulement en deux phases ne résulte pas de l'acte d'accusation qui décrit un unique complexe de fait sous un unique chef d'accusation (ch. I.1). Pour leur part, les premiers juges ont retenu un concours entre une tentative de lésions corporelles graves et une infraction achevée de lésions corporelles simple aggravées de sorte qu'ils ont nécessairement visé dans les deux hypothèses les mêmes gestes impliquant l'usage du tesson de bouteille, ce qui est exclu. 2.3.2. Aussi seule une infraction aurait-elle dû être admise – les lésions corporelles graves tentées absorbant, le cas échéant, les lésions corporelles simples –, le critère pour choisir entre les deux dispositions entrant en considération tenant à l'intention de l'appelant. Les éléments de la procédure ne permettent pas de retenir qu'en tailladant la victime au visage l'appelant avait l'intention de mettre sa vie en danger, ni même qu'il avait des raisons d'envisager une telle issue. Prima facie, la probabilité de créer un tel danger en agissant de la sorte parait nettement moins élevée que, par exemple, dans le cas de celui qui plante un couteau dans la partie supérieure du torse, où sont logés les organes vitaux que sont le cœur et les poumons, et le dossier ne contient aucune indication, notamment aucun avis médical contraire. D'ailleurs l'acte d'accusation ne décrit pas ce qui permet d'affirmer qu'en coupant la partie plaignante au visage, l'appelant voulait concrètement mettre sa vie en danger, ou à tout le moins acceptait cette éventualité. Il est vrai que le nombre de lésions au visage subi par la victime du fait du tesson, leur longueur, la profondeur d'une plaie et la nécessité d'une prise en charge chirurgicale sont des indices en faveur d'une volonté de défigurer. Toutefois, les coups ont porté sur le côté du visage, ce qui ne va pas dans le sens de l'accusation. Dans le doute, la Cour retiendra donc uniquement la commission d'une infraction achevée de lésions corporelles simples aggravées. Aussi, le verdict de culpabilité sera-t-il annulé dans cette mesure.</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3.2</w:t>
      </w:r>
    </w:p>
    <w:p>
      <w:r>
        <w:t>L'appelant a participé à une violente bagarre et le recours au tesson de bouteille doit être qualifié d'autant plus lâche et inutile que l'intéressé avait déjà pris le dessus et que rien ne permet de retenir que son antagoniste tenait lui-même un morceau de verre à la main. Il est à cet égard rappelé que le Tribunal correctionnel a exclu cette circonstance et que l'appelant a affirmé, par le truchement de son défenseur, qu'il ne contestait pas l'état de fait résultant du jugement entrepris, outre que les éléments du dossier ne vont pas dans ce sens. Comme soutenu par le MP, ce geste tenait sans doute à la volonté de faire mal, dans un contexte de rivalité entre les deux hommes. Aussi, le mobile était-il particulièrement futile. Les autres infractions retenues dénotent une incapacité à se tenir aux règles édictées par l'ordre juridique. Il y a concours d'infractions. La faute est donc d'une intensité certaine. La collaboration a été moyenne et, au regard des déclarations de l'appelant, on peut douter qu'il y ait de véritable prise de conscience de l'inadéquation des comportements en cause. Ses antécédents sont mauvais et spécifiques. La situation personnelle de l'appelant ne justifie en aucun cas le recours à la violence. En particulier, l'existence d'une enfant dans le foyer provisoirement occupé par un rival, ne saurait en aucun cas être invoquée à décharge. En revanche, l'existence de cette même enfant, avec laquelle l'appelant paraît entretenir des relations régulières, doit être prise en considération s'agissant du séjour illégal, sans l'excuser pour autant. Dans ces circonstances, la Cour estime appropriée une peine privative de liberté de 18 mois, de sorte qu'il convient de réformer le jugement de première instance en ce sens.</w:t>
      </w:r>
    </w:p>
    <w:p>
      <w:r>
        <w:rPr>
          <w:b/>
        </w:rPr>
        <w:t>E. 4</w:t>
      </w:r>
    </w:p>
    <w:p>
      <w:r>
        <w:t>4.1. Lorsque la peine privative de liberté est d'une durée telle qu'elle permette le choix entre le sursis complet (art. 42 CP) et le sursis partiel (art. 43 CP), soit entre un et deux ans au plus, l'octroi du sursis au sens de l'art. 42 est la règle et le sursis partiel l'exception. Celle-ci ne peut être admise que si l'octroi du sursis à l'exécution d'au moins une partie de la peine nécessite, à des fins de prévention spéciale, que l'autre partie de la peine soit exécutée (arrêt du Tribunal fédéral 6B_664/2007 du 18 janvier 2008 consid. 3.2.3.1). Les conditions subjectives permettant l'octroi du sursis au sens de l'art. 42 CP, à savoir les perspectives d'amendement, valent également pour le sursis partiel prévu à l'art. 43 CP, dès lors que la référence au pronostic ressort implicitement du but et du sens de ces dernières dispositions. Ainsi, lorsque le pronostic quant au comportement futur de l'auteur n'est pas défavorable, la loi exige que l'exécution de la peine soit au moins partiellement suspendue. En revanche, un pronostic défavorable exclut également le sursis partiel. S'il n'existe aucune perspective que l'auteur puisse être influencé de quelque manière que ce soit par le sursis complet ou partiel, la peine doit être entièrement exécutée (ATF 134 IV 1 consid. 5.3.1 p. 10). S'il existe des doutes très importants au sujet du comportement futur de l'auteur, notamment au vu de condamnations antérieures, le juge peut prononcer une peine assortie du sursis partiel au lieu d'un sursis total, et ceci même si les doutes mentionnés ne suffisent pas, après appréciation globale de tous les éléments pertinents, pour poser un pronostic défavorable. Le juge peut ainsi éviter le dilemme du "tout ou rien" en cas de pronostic fortement incertain (ATF 134 IV 1 consid. 5.5.2. p. 15 ; SJ 2008 I p. 277 consid. 2.2.3.2. p. 281 ; arrêt du Tribunal fédéral 6B_1044/2013 du 4 mars 2014 consid. 3.1). Le rapport entre la partie ferme et avec sursis de la peine doit être fixé de telle manière que, d'une part, la probabilité d'un comportement futur de l'auteur conforme à la loi mais aussi sa culpabilité soient équitablement prises en compte. Le juge dispose à ce propos d'un large pouvoir d'appréciation (cf. ATF 134 IV 1 consid. 5.6 p. 15).</w:t>
      </w:r>
    </w:p>
    <w:p>
      <w:r>
        <w:rPr>
          <w:b/>
        </w:rPr>
        <w:t>E. 4.2</w:t>
      </w:r>
    </w:p>
    <w:p>
      <w:r>
        <w:t>En l'occurrence, si les conditions objectives à l'octroi du sursis sont données, on se trouve néanmoins dans une situation limite, l'appelant vivant une relation tumultueuse avec la mère de sa fille, ce qui avait donné lieu à une condamnation pour diverses infractions, dont des lésions corporelles simples, moins d'un mois avant la bagarre du 21 août 2014 et la prise de conscience n'étant, comme déjà dit, guère perceptible. Le fait que cette relation ait repris ne peut, à cet égard, qu'être source de préoccupation. Il en va de même de la certitude affichée que toute problématique liée à l'alcool serait réglée. Les autres antécédents doivent être pris en considération défavorablement, étant observé qu'ils ne sont pas uniquement liés au statut administratif de l'intéressé. Il reste que l'appelant vient de subir une longue détention, susceptible de lui donner quelque enseignement. Dans ces circonstances, la Cour considère qu'un signal favorable peut encore été donné à l'intéressé, sous la forme d'un sursis partiel, la partie ferme de la peine étant arrêtée à neuf mois, et d'une renonciation à révoquer le sursis du 25 janvier 2013, cette dernière mesure se justifiant aussi compte tenu des démarches entreprises ou envisagées en vue d'une éventuelle régularisation au regard du droit des étrangers. Le jugement dont est appelé sera annulé à cet égard également.</w:t>
      </w:r>
    </w:p>
    <w:p>
      <w:r>
        <w:rPr>
          <w:b/>
        </w:rPr>
        <w:t>E. 5</w:t>
      </w:r>
    </w:p>
    <w:p>
      <w:r>
        <w:t>5.1. Aux termes de l'art. 49 CO, celui qui subit une atteinte illicite à sa personnalité a droit à une somme d'argent au titre de réparation morale, pour autant que la gravité de l'atteinte le justifie et que l'auteur ne lui ait pas donné satisfaction autrement. L'ampleur de la réparation dépend avant tout de la gravité des souffrances physiques et psychiques consécutives à l'atteinte subie et de la possibilité d'adoucir sensiblement, par le versement d'une somme d'argent, la douleur morale qui en résulte. En raison de sa nature, cette indemnité, qui est destinée à réparer un dommage ne pouvant que difficilement être réduit à une simple somme d'argent, échappe à toute fixation selon les critères mathématiques, de sorte que son évaluation en chiffres ne saurait excéder certaines limites. L'indemnité allouée doit toutefois être équitable. Le juge en proportionnera le montant à la gravité de l'atteinte subie et évitera que la somme accordée n'apparaisse dérisoire à la victime (ATF 125 III 269 consid. 2a p. 273 ; 118 II 410 consid. 2 p. 413 ; arrêt du Tribunal fédéral 6S.320/2005 du 10 janvier 2006 consid. 10.2). L'atteinte objectivement grave doit être ressentie par la victime comme une souffrance morale. A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p. 74 s. ; ATF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p. 29 ; arrêt du Tribunal fédéral 1B_648/2012 du 11 juillet 2013 consid. 1.2). A défaut, aucune indemnisation ne peut être accordée (arrêt du Tribunal fédéral 6B_400/2008 du 7 octobre 2008 consid. 6.1).</w:t>
      </w:r>
    </w:p>
    <w:p>
      <w:r>
        <w:rPr>
          <w:b/>
        </w:rPr>
        <w:t>E. 5.2</w:t>
      </w:r>
    </w:p>
    <w:p>
      <w:r>
        <w:t>La partie plaignante n'a guère fourni d'indications susceptibles d'aider à mesurer l'ampleur de la souffrance subie. Elle a évoqué une attaque "sauvage" mais sa version des faits n'a pas été retenue - au contraire, son propre comportement a favorisé le déclenchement de la bagarre, ou à tout le moins y a contribué, sans que cela ne rende excusable le recours au tesson de verre -. Elle n'indique pas avoir subi une atteinte telle à sa santé psychologique qu'elle aurait eu besoin d'un suivi et n'évoque pas de symptômes d'un traumatisme. Il peut être déduit de ce qu'elle explique avoir " gardé sur son corps, durant plusieurs mois, les traces de [l'] agression" que les cicatrices ont disparu ou sont devenues peu visibles. D'ailleurs, seules des lésions corporelles simples ont été retenues. Dans ces circonstances, l'indemnité de CHF 500.- proposée par l'appelant paraît plus adéquate que celle de CHF 2'000.- allouée par les premiers juges de sorte que l'appel sera admis sur ce point également.</w:t>
      </w:r>
    </w:p>
    <w:p>
      <w:r>
        <w:rPr>
          <w:b/>
        </w:rPr>
        <w:t>E. 6.1</w:t>
      </w:r>
    </w:p>
    <w:p>
      <w:r>
        <w:t>Selon l'art. 426 al. 1 CPP, le prévenu supporte les frais de procédure s'il est condamné, les frais de la défense d'office étant réservés. Les premiers juge auraient donc effectivement dû déterminer quels étaient les frais de la procédure de première instance liés à l'infraction de brigandage, subsidiairement recel, dont l'appelant a été acquitté, et les laisser à la charge de l'Etat. La CPAR les estimera à CHF 60.- pour les frais de convocation de la victime de ces faits à l'audience de jugement, la moitié des frais de surveillance téléphonique et un tiers de l'émolument de jugement. En outre, la totalité de l'émolument complémentaire lié à la motivation du jugement du fait de l'appel doit être laissée à la charge de l'Etat, ce recours ayant abouti. Le montant des frais de première instance à supporter par l'appelant doit ainsi être réduit à CHF 5'855.-.</w:t>
      </w:r>
    </w:p>
    <w:p>
      <w:r>
        <w:rPr>
          <w:b/>
        </w:rPr>
        <w:t>E. 6.2</w:t>
      </w:r>
    </w:p>
    <w:p>
      <w:r>
        <w:t>Vu l'issue de la procédure d'appel, les frais y relatifs resteront à charge de l'Etat (art. 428 al. 1 CPP).</w:t>
      </w:r>
    </w:p>
    <w:p>
      <w:r>
        <w:rPr>
          <w:b/>
        </w:rPr>
        <w:t>E. 7</w:t>
      </w:r>
    </w:p>
    <w:p>
      <w:r>
        <w:t>7.1.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7.2.1. Selon l'art. 135 al. 1 CPP, le défenseur d'office ou le conseil juridique gratuit (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7.2.2.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7.2.3.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7.2.4. Ladite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 l'opposition à ordonnance pénale ( AARP/161/2014 du 28 mars 2014), l'annonce d'appel ( AARP/304/2015 du 16 juillet 2015), la déclaration d'appel (ordonnance de la Cour des plaintes du Tribunal pénal fédéral BB.2014.51 du 21 novembre 2014 consid. 2.1 ; décisions de la Cour des plaintes du Tribunal pénal fédéral BB.2013.165 du 24 janvier 2014 consid. 4.1.3 et BB.2013.127 du 4 décembre 2013 consid. 4.2) ou d'appel joint ( AARP/133/2015 du 3 mars 2015), la demande de non-entrée en matière sur un appel ( AARP/421/2014 du 30 septembre 2014) pour autant qu'elle n'ait pas nécessité de développements importants, de brèves observations ou déterminations, notamment au Tribunal des mesures de contraintes ou sur la prolongation de la détention ( AARP/326/2015 du 16 juillet 2015 ; AARP/281/2015 du 25 juin 2015 ; AARP/277/2014 du 17 juin 2014 ; AARP/131/2014 du 25 mars 2014), de la requête d'exécution anticipée de la peine (décision de la Cour des plaintes du Tribunal pénal fédéral BB.2013.22 du 31 octobre 2013 consid. 5.2.3) ou encore d'une demande de levée de l'ordre d'écrou ( AARP/94/2015 du 17 février 2015 ; AARP/12/2015 du 13 janvier 2015). 7.2.5.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En revanche, il n'y a pas lieu à indemnisation au titre de l'assistance juridique cantonale d'une visite postérieure à la décision (décision de la Cour des plaintes du TPF BB.2015.33 du 3 novembre 2015 consid. 4.2.3). Le temps considéré admissible pour les visites dans les établissements du canton est d'une heure et 30 minutes pour les avocats et une heure pour les avocats-stagiaires, ce qui comprend le temps de déplacement. 7.2.6. Le temps consacré à la consultation et à l'étude du dossier n'est pas compris dans la majoration forfaitaire et doit par conséquent être indemnisé en fonction du temps effectivement consacré (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 AARP/295/2015 du 12 juillet 2015 consid. 8.3.1.1 et 8.3.2.1). 7.2.7.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 7.3.1. En l'occurrence seules six visites à l'appelant à la prison, dont une effectuée par une collaboratrice, seront prise en charge au titre de l'assistance juridique, soit une visite mensuelle, à l'exclusion de tout contact postérieur au prononcé du présent verdict, lequel a d'ailleurs entraîné, le jour même, la mise en liberté de l'intéressé. La rédaction et le dépôt de l'annonce et de la déclaration d'appel tombent sous le coup de la majoration forfaitaire. Les huit heures de préparation de l'audience d'appel (que ce soit sous couvert de relecture du dossier ou de préparation de la plaidoirie) seront ramenées à quatre, temps suffisant pour un avocat expérimenté et expéditif, connaissant déjà bien le dossier pour l'avoir suivi devant les autorités précédentes. La rédaction de la requête en indemnisation, se résumant à un rappel de la jurisprudence bien connue et au calcul mathématique du nombre de jours de détention subie au-delà de la peine requise, multiplié par CHF 200.-, ne nécessitait pas plus de 30 minutes. L'audience a duré, en tout, deux heures et 30 minutes. S'y ajoute un double aller-retour, vu l'interruption de deux heures pour la délibération. 7.3.2. L'activité retenue est ainsi de huit heures et 30 minutes pour la cheffe d'étude (cinq visites à la prison ; 30 minutes d'examen du jugement ; 30 minutes de rédaction de la requête en indemnisation) et sept heures et 50 minutes pour l'activité de la collaboratrice (un parloir, quatre heures de préparation de l'audience, deux heures 30 de présence à celle-ci et une heure pour le double aller-retour), d'où une indemnité de CHF 2'660.- à laquelle il convient d'ajouter la majoration forfaitaire de 10% (= CHF 266.-), vu l'activité déjà précédemment déployée, et la TVA par CHF 234,10 (8% de CHF 2'926.-). Le montant total est ainsi de CHF 3'160,10.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