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P/17187/2012 vom 24. November 2015</w:t>
      </w:r>
    </w:p>
    <w:p>
      <w:r>
        <w:t>GE Cour de justice, 2015-11-24, FR</w:t>
      </w:r>
    </w:p>
    <w:p>
      <w:r>
        <w:rPr>
          <w:b/>
        </w:rPr>
        <w:t xml:space="preserve">Quelle: </w:t>
      </w:r>
      <w:r>
        <w:t>https://mcp.opencaselaw.ch/entscheid/ge_gerichte_P_17187_2012</w:t>
      </w:r>
    </w:p>
    <w:p>
      <w:r>
        <w:t>FR: GE_GERICHTE P/17187/2012 du 24 novembre 2015</w:t>
      </w:r>
    </w:p>
    <w:p>
      <w:r>
        <w:t>IT: GE_GERICHTE P/17187/2012 del 24 novembre 2015</w:t>
      </w:r>
    </w:p>
    <w:p>
      <w:pPr>
        <w:pStyle w:val="Heading2"/>
      </w:pPr>
      <w:r>
        <w:t>Regeste</w:t>
      </w:r>
    </w:p>
    <w:p>
      <w:r>
        <w:t>MODIFICATION DE LA DEMANDE; ADMINISTRATION DES PREUVES; DÉNONCIATION CALOMNIEUSE; PEINE COMPLÉMENTAIRE | CPP.399.4; CPP.404.2; CPP.389.1; CP.303; CP.49.2</w:t>
      </w:r>
    </w:p>
    <w:p>
      <w:pPr>
        <w:pStyle w:val="Heading2"/>
      </w:pPr>
      <w:r>
        <w:t>Erwägungen</w:t>
      </w:r>
    </w:p>
    <w:p>
      <w:r>
        <w:rPr>
          <w:b/>
        </w:rPr>
        <w:t>E. 1</w:t>
      </w:r>
    </w:p>
    <w:p>
      <w:r>
        <w:t>1.1.1 L'appel, tel qu'il est circonscrit par la déclaration du 2 juillet 2015, est recevable pour avoir été interjeté et motivé selon la forme et dans les délais prescrits (art. 398 et 399 du Code de procédure pénale, du 5 octobre 2007 (CPP ; RS 312.0). 1.1.2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1.2.1 En l'espèce, l'appelant a expressément indiqué dans sa déclaration d'appel qu'il ne contestait le verdict de culpabilité que pour ce qui avait trait à la dénonciation calomnieuse et concluait ainsi à son acquittement de ce chef d'accusation, se bornant à demander une réduction de peine pour les autres infractions retenues à son encontre. Partant la conclusion prise dans son mémoire d'appel tendant à son acquittement de tous les chefs d'infractions est tardive et irrecevable, l'art. 404 al. 2 CPP ne trouvant pas application.</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6B_496/2012 du 18 avril 2013 consid. 6.1 ;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 arrêt du Tribunal fédéral 6B_154/2014 du 17 novembre 2014 consid. 3.1).</w:t>
      </w:r>
    </w:p>
    <w:p>
      <w:r>
        <w:rPr>
          <w:b/>
        </w:rPr>
        <w:t>E. 2.2</w:t>
      </w:r>
    </w:p>
    <w:p>
      <w:r>
        <w:t>En l'occurrence, l'appelant a sollicité l'audition de N______ afin qu'il témoigne de son état de santé au lendemain des faits du 31 octobre 2012. Or, on ne comprend pas ce que pourrait apporter ce témoignage dans la mesure où la procédure ouverte à l'encontre des policiers pour lésions corporelles a été classée, sans que l'appelant ne s'y oppose, après avoir été instruite aussi bien par le Procureur général que par l'IGS. La décision de classement est rentrée en force faute de recours, raison pour laquelle il n'y a pas lieu de revenir sur ces faits. Au demeurant, la mesure requise est inutile, l'appelant ayant déjà produit un certificat médical et l'existence de lésions ne permettant pas encore de retenir que des violences policières auraient été commises. Enfin, et en tout état, l'audition de l'ancien avocat de l'appelant, collaborateur de son défenseur actuel, est exclue vu le devoir de fidélité de l'avocat envers son client. La réquisition de preuve de l'appelant sera donc derechef écartée.</w:t>
      </w:r>
    </w:p>
    <w:p>
      <w:r>
        <w:rPr>
          <w:b/>
        </w:rPr>
        <w:t>E. 3.1</w:t>
      </w:r>
    </w:p>
    <w:p>
      <w:r>
        <w:t>Selon l'art. 303 al. 1 ch. 1 et 2 CP celui qui aura dénoncé à l'autorité, comme auteur d'un crime ou d'un délit, une personne qu'il savait innocente, en vue de faire ouvrir contre elle une poursuite pénale, celui qui aura de toute autre manière ourdi des machinations astucieuses en vue de provoquer l'ouverture d'une poursuite pénale contre une personne qu'il savait innocente, sera puni d'une peine privative de liberté ou d'une peine pécuniaire. La dénonciation calomnieuse n'est soumise à aucune forme particulière et peut notamment résulter d'une simple déclaration faite au cours d'une audition (M. Dupuis / B. Geller / G. Monnier / L. Moreillon / C. Piguet / C. Bettex / D. Stoll (éds), Code pénal - Petit commentaire , Bâle 2012, n. 10 ad. art. 303). La dénonciation calomnieuse suppose que la personne visée n'ait pas commis l'infraction dénoncée. Il n'est pas nécessaire que la dénonciation soit entièrement fausse, il suffit que la personne visée ne soit pas punissable (absence d'intention, faits justificatifs, etc…) (ATF 72 IV 76 consid. 1). La fausseté des accusations doit être établie par une décision qui la constate, rendue dans une procédure se rapportant à cette accusation, que cela soit un acquittement, un non-lieu ou un classement. Le juge de la dénonciation est lié par cette décision, sauf si elle est nulle (Corboz, Les infractions en droit Suisse , volume II, Berne 2010, n° 15 ad art. 303 CP).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consid. 2). 3.2.1 En l'espèce, plusieurs éléments du dossier permettent d'étayer la fausseté des allégations de l'appelant à l'encontre des gendarmes. En particulier, le fait que l'intéressé a lors de ses deux auditions devant le Ministère public, dans des procédures différentes, relaté un état de faits rigoureusement identique au cours duquel l'intimé l'aurait prétendument violenté. Le premier juge souligne également à juste titre que le certificat médical produit par l'appelant parait infirmer ses déclarations, celui-ci ne faisant état que d'une légère tuméfaction à une articulation et d'une dermabrasion au tibia, ce qui n'est pas en adéquation avec ses affirmations, selon lesquelles il aurait été roué de coups. En tout état, la fausseté des allégations de l'appelant a été formellement établie par les ordonnances de classement partiel rendues par le Ministère public les ______octobre 2012 et ______août 2013, contre lesquelles celui-ci n'a pas recouru. L'appelant n'est pas crédible lorsqu'il prétend n'avoir jamais voulu porter plainte, puisqu'il ressort clairement du dossier, qu'assisté de son défenseur, il a formellement déposé plainte devant le Ministère public le 27 novembre 2012 et a confirmé ce fait à deux reprises lors de son audition devant l'IGS. L'intimé relève pertinemment que l'appelant a déclaré n'avoir jamais eu l'intention de déposer plainte pénale qu'au moment où lui-même en avait déposé une pour dénonciation calomnieuse. Au surplus, la dénonciation calomnieuse n'étant soumise à aucune forme particulière, il importe peu que l'appelant ait eu ou non la volonté de porter plainte, les déclarations formulées à réitérées reprises devant le Ministère public et l'IGS étant déjà suffisantes pour que l'infraction soit réalisée. En considérant ce qui précède, il ne fait aucun doute que l'infraction est réalisée. 3.2.2 Par conséquent, le jugement dont est appel sera confirmé en ce qu'il reconnait l'appelant coupable de dénonciation calomnieuse au sens de l'art. 303 CP.</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1-100 CP ,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ATF 129 IV 113 consid. 1.3 ; ATF 109 IV 87 consid. 2a ; ATF 102 IV 242 consid. II.4.a ; ACPR/369/2015 du 3 juillet 2015 consid. 2.1.). 4.1.4 Conformément à l'art. 34 CP, la peine pécuniaire est fixée en jours-amende dont le tribunal fixe le nombre en fonction de la culpabilité de l'auteur (al. 1). Un jour-amende est de CHF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4.2.1 En l'espèce, la faute de l'appelant doit être qualifiée de moyenne celui-ci s'en étant pris à l'administration de la justice en commettant une dénonciation calomnieuse, laquelle semble avoir été motivée uniquement par une volonté de nuire à autrui, obligeant l'intimé et ses collègues à supporter une procédure lourde, au cours de laquelle ils ont dû justifier de leurs actes devant les instances internes et le Ministère public. Au surplus, l'appelant s'est rendu coupable de plusieurs autres infractions, à la LStup et à la LEtr en plus de son opposition à un acte de l'autorité. Il y a concours d'infractions. La situation personnelle de l'appelant, bien que précaire ne permet pas d'expliquer ses agissements, dans la mesure où la dénonciation calomnieuse n'a aucune corrélation avec ses conditions de vie et que les infractions à la LStup ne semblent pas avoir été commises dans un but d'enrichissement. La collaboration de l'appelant à la procédure a été mauvaise, celui-ci ayant, à plusieurs reprises, nié les faits reprochés et refusé de répondre aux questions. La prise de conscience est nulle. Aucune des circonstances atténuantes prévues par l'art. 48 CP n'est réalisée, ni d'ailleurs plaidée. Les antécédents de l'appelant sont mauvais et spécifiques, celui-ci ayant été condamné à six reprises pour des infractions similaires ces cinq dernières années, ce qui dénote son mépris pour les lois en vigueur et son incapacité à s'y plier, étant souligné que la dénonciation calomnieuse dont il s'est rendu coupable semble s'inscrire dans le cadre de la résistance coutumière qu'il manifeste envers les forces de l'ordre. Pour autant la peine privative de liberté fixée à neuf mois par le premier juge ne tient pas suffisamment compte du concours réel rétrospectif et paraît exagérée au regard des infractions commises par l'appelant. En effet, seule la dénonciation calomnieuse présente une certaine gravité, les infractions à la LEtr et à la LStup étant de moindre importance, au vu notamment des faibles quantités de marijuana en présence. La peine privative de liberté sera donc ramenée à six mois, étant souligné qu'au vu des condamnations précitées, la directive sur le retour 2008/115/CE ne trouve pas application. L'appelant ayant été condamné à une peine de six mois au moins dans les cinq ans qui ont précédé les infractions, le sursis ne pourra lui être octroyé. 4.2.2 La peine pécuniaire, fixée à 30 jours-amende par le premier juge pour la violation de l'art 286 CP, est également adéquate et proportionnée à la faute de l'appelant. Il en va de même pour le montant du jour amende arrêtée à CHF 10.- laquelle représente le minimum légal.</w:t>
      </w:r>
    </w:p>
    <w:p>
      <w:r>
        <w:rPr>
          <w:b/>
        </w:rPr>
        <w:t>E. 5.1</w:t>
      </w:r>
    </w:p>
    <w:p>
      <w:r>
        <w:t>L'appelant, qui succombe en majeur partie, supportera les 2/3 des frais de la procédure d'appel, lesquels comprennent un émolument de jugement de CHF 2'000.- (art. 428 CPP et art. 14 du Règlement fixant le tarif des frais en matière pénale du 22 décembre 2010 [RFTMP ; RS E 4 10.03]).</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6.2.4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 6.2.5 Selon l'art. 17 RAJ, l'état de frais doit détailler, par rubriques, les activités donnant lieu à indemnisation, avec indication du temps consacré, et les justificatifs doivent être joints. 6.3.1 En l'occurrence, M e B______ présente un état de frais total évoquant 33h20 d'activité, dont cinq heures et 50 minutes pour l'activité déployée en procédure d'appel, soit une heure et 20 minutes au tarif d'avocat-stagiaire pour la rédaction de la déclaration d'appel et quatre heures et 30 minutes au tarif de chef d'étude pour la rédaction du mémoire d'appel. Seul sera retenu le temps consacré à la rédaction de ce dernier, celle de la déclaration d'appel, dont la loi n'exige pas qu'elle soit motivée, de sorte qu'elle peut se résumer à une simple lettre, étant comprise dans le forfait. 6.3.2 En conclusion, l'indemnité pour la procédure d'appel sera arrêtée à CHF 1'021.68.- correspondant à quatre heures et 30 minutes d'activité au tarif de CHF 200.-/heure plus la majoration forfaitaire de 10% et l'équivalent de la TVA au taux de 8% en CHF 75.68.-.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