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P/17163/2018 vom 10. Dezember 2021</w:t>
      </w:r>
    </w:p>
    <w:p>
      <w:r>
        <w:t>GE Cour de justice, 2021-12-10, FR</w:t>
      </w:r>
    </w:p>
    <w:p>
      <w:r>
        <w:rPr>
          <w:b/>
        </w:rPr>
        <w:t xml:space="preserve">Quelle: </w:t>
      </w:r>
      <w:r>
        <w:t>https://mcp.opencaselaw.ch/entscheid/ge_gerichte_P_17163_2018</w:t>
      </w:r>
    </w:p>
    <w:p>
      <w:r>
        <w:t>FR: GE_GERICHTE P/17163/2018 du 10 décembre 2021</w:t>
      </w:r>
    </w:p>
    <w:p>
      <w:r>
        <w:t>IT: GE_GERICHTE P/17163/2018 del 10 dicembre 2021</w:t>
      </w:r>
    </w:p>
    <w:p>
      <w:pPr>
        <w:pStyle w:val="Heading2"/>
      </w:pPr>
      <w:r>
        <w:t>Erwägungen</w:t>
      </w:r>
    </w:p>
    <w:p>
      <w:r>
        <w:rPr>
          <w:b/>
        </w:rPr>
        <w:t>E. 1</w:t>
      </w:r>
    </w:p>
    <w:p>
      <w:r>
        <w:t>Les appels et l'appel joint sont recevables pour avoir été interjetés et motivés selon la forme et dans les délais prescrits (art. 398, 399 et 401 CPP). La Chambre limite son examen aux violations décrites dans l'acte d'appel (art. 404 al. 1 CPP), sauf en cas de décisions illégales ou inéquitables (art. 404 al. 2 CPP).</w:t>
      </w:r>
    </w:p>
    <w:p>
      <w:r>
        <w:rPr>
          <w:b/>
        </w:rPr>
        <w:t>E. 2.1</w:t>
      </w:r>
    </w:p>
    <w:p>
      <w:r>
        <w:t>La présomption d'innocence, garantie par les art. 10 CPP, 32 al. 1 Cst., 14 par. 2 Pacte ONU II et 6 par. 2 CEDH, ainsi que son corollaire, le principe in dubio pro reo ,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Lorsque le juge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(arrêt du Tribunal fédéral 6B_147/2021 du 29 septembre 2021 consid. 1.1). Les déclarations de la victime constituent un élément de preuve. Le juge doit, dans l'évaluation globale de l'ensemble des éléments probatoires rassemblés au dossier, les apprécier librement (arrêts du Tribunal fédéral 6B_219/2020 du 4 août 2020 consid. 2.1 ; 6B_332/2020 du 9 juin 2020 consid. 3.2 et les références citées). Lorsque les déclarations de la victime et les déclarations des accusés s'opposent, ceci ne doit pas nécessairement, sur la base du principe in dubio pro reo , conduire à un acquittement. L'appréciation définitive des déclarations des participants incombe au juge du fond (ATF 137 IV 122 consid. 3.3 ; arrêt du Tribunal fédéral 6B_238/2020 du 14 décembre 2020 consid. 1.3).</w:t>
      </w:r>
    </w:p>
    <w:p>
      <w:r>
        <w:rPr>
          <w:b/>
        </w:rPr>
        <w:t>E. 2.2</w:t>
      </w:r>
    </w:p>
    <w:p>
      <w:r>
        <w:t>Sur la base des éléments du dossier tels que résumés précédemment, et en application des principes pertinents, il est procédé de la sorte à l'appréciation des preuves et, partant, à l'établissement des faits : a. Coups donnés à la partie plaignante</w:t>
      </w:r>
    </w:p>
    <w:p>
      <w:r>
        <w:rPr>
          <w:b/>
        </w:rPr>
        <w:t>E. 2.3</w:t>
      </w:r>
    </w:p>
    <w:p>
      <w:r>
        <w:t>Contrairement à ce qui a été soutenu, plus ou moins explicitement, on ne saurait reprocher à la partie plaignante d'avoir sciemment exagéré la gravité des faits. Certes, celle-ci s'est également exprimée par voie de presse, ce qui démontre qu'elle a été fortement choquée par les événements et en a été fâchée, vu le contexte sportif, mais cela ne permet pas encore de lui attribuer une volonté de vengeance ou de charger à tort les prévenus, en en rajoutant. La motivation financière plaidée ne repose sur rien de concret, vu d'une part la solvabilité très relative des appelants, d'autre part la modestie des conclusions civiles admises, conformes à la casuistique, ce dont l'avocat de la partie plaignante n'aura pas manqué de l'avertir. Cela étant, il est vrai quele récit de l'intimé présente des fragilités. La première est moins importante : l'inversion initiale entre les joueurs numéro 15 et 9 a été rectifiée rapidement et s'explique certainement par l'émotion qui subsistait lors de l'audition par la police, la mauvaise qualité des photographies et une certaine ressemblance entre les frères C______/F______, en effet observée par la Cour. La seconde interpelle davantage : il est peu plausible qu'à la fin des événements, l'arbitre ait fini par tomber sous les coups de ses assaillants et ait perdu connaissance, dès lors qu'aucun témoin entendu ne l'a confirmé et qu'aux dires de son collègue U______, il voulait siffler la fin du match. Il faut donc plutôt retenir que l'arbitre était sous le choc de ce qui venait de lui arriver et a pu qualifier de perte de connaissance une sensation de " brouillard ", telle celle évoquée par A______ ensuite d'un unique choc à l'oreille. Ces fragilités peuvent donc s'expliquer autrement que par des mensonges ou exagérations de la victime, mais il demeure qu'elles sont présentes, ce qui affaiblit son récit sur les épisodes violents, et conduit à le confronter avec rigueur aux autres éléments du dossier. 2.4.1. Il est incontesté que, sanctionné d'un carton rouge qu'il considérait injustifié, C______, très en colère, s'est précipité sur l'arbitre dans l'intention de le frapper. Il l'a toujours admis, et cela est démontré par la suite des événements, sans préjudice de ce que son propre frère, qui se trouvait sur le banc des remplaçants, l'a bien compris, puisqu'il indique être entré dans le terrain pour le retenir. 2.4.2. Ainsi qu'elle le relate, la victime a d'abord reçu trois à quatre coups sur le visage de la part de C______, ce que celui-ci concède désormais du bout des lèvres, reconnaissant non seulement un premier coup, mais aussi qu'il aurait pu atteindre encore l'arbitre alors qu'il était maîtrisé mais se débattait. Cela est cohérent aussi avec les déclarations de F______, selon lesquelles son frère lui avait échappé alors qu'il l'entourait de ses bras pour le retenir. On peut encore évoquer le témoignage en ce sens de R______. 2.4.3. A______ est alors intervenu. A supposer que ce fût pour dialoguer, comme il l'a initialement prétendu, il demeure que, parvenu à la hauteur de l'arbitre, il l'a giflé et lui a donné deux autres coups, forts mais la main ouverte, ainsi qu'il l'a reconnu en appel et que l'avait déjà indiqué F______ au TMC, outre les témoins O______ et S______. À le suivre, son changement de disposition interne serait dû au fait qu'il aurait perdu ses esprits après avoir lui-même reçu un coup dont il ignore l'origine, ce qui ne peut être exclu, étant rappelé que ce prévenu a d'emblée évoqué un tel choc et qu'il produit des pièces en ce sens. Néanmoins, cela ne justifie en rien son acte, ce qu'il ne conteste pas juridiquement. 2.4.4. Le rôle de F______ est plus difficile à appréhender. Il ne peut être exclu que son intention lorsqu'il est entré sur le terrain était de retenir son frère, vu la déposition du témoin N______. Par ailleurs, si elle a dit qu'il l'avait frappée, la victime a décrit le même type et nombre de coups que ceux qui viennent d'être attribués à A______ sans le désigner comme étant intervenu à ce stade. Il est donc possible qu'elle ait confondu entre ces deux protagonistes, d'autant qu'elle avait bien enregistré l'arrivée de F______ et l'avait perçue comme une menace. Pour le surplus, si plusieurs témoins ont désigné F______ comme ayant fait partie des assaillants à ce stade (témoins N______, P______, R______ et S______), ce qui peut s'expliquer par le fait qu'il s'est précipité sur le terrain, l'un a sérieusement nuancé son propos devant le MP (N______) et aucun n'a décrit les coups que ce prévenu aurait donnés, sous réserve peut-être du témoin P______, lequel a déclaré devant le MP que les deux frères C______/F______ avaient frappé l'arbitre. Il ne l'avait cependant pas dit à la police, semblant attribuer tous les coups à l'un seul de ces deux protagonistes. Au bénéfice du doute, il sera donc retenu que F______ est entré sur le terrain pour retenir son frère et n'a pas frappé l'arbitre durant cette première phase. Ainsi qu'on le verra ci-après, il ne l'a pas fait par la suite non plus. 2.4.5. L'intimé a alors tenté de se réfugier à l'autre bout du terrain. Il y a une dispute au sujet du coup de pied décrit par la victime.C______ admet avoir de la sorte frappé l'arbitre, dans le bas du dos, et A______ conteste les déclarations de la partie plaignante, selon laquelle il l'aurait suivie et aurait pratiqué une telle frappe durant sa fuite, ce qui l'aurait fait chuter. Il appert que ce second prévenu tente de tirer profit de la contradiction entre les deux versions. En réalité, on comprend qu'il y a eu au moins deux coups de pied, l'un donné à hauteur du dos de la partie plaignante par C______, durant la première phase, alors qu'il était maîtrisé et se débattait ou venait d'échapper à l'étreinte de son frère, l'autre par A______, dans les circonstances décrites par l'arbitre et qui l'a atteint au mollet (et non le bas du dos comme mentionné dans l'acte d'accusation). La réalité du second coup de pied durant la fuite de l'arbitre se déduit des récits des témoins O______ (un coup de pied provenant de C______ puis un second, d'un autre joueur, tandis que l'arbitre courait), Q______ (un coup sur le haut du corps de C______, puis un second, d'un autre joueur), S______ (un coup de pied de C______ et un second d'un troisième joueur), U______ (un premier coup de pied dans le dos puis un second, également dans le dos, mais provenant d'un autre joueur), ainsi que, dans une certaine mesure, T______ (le même joueur, soit C______, avait rattrapé la victime et lui avait donné un coup de pied dans le mollet, la Cour retenant que le témoin se trompe sur le fait qu'il s'agissait du même joueur). Or, aucun de ces témoins n'a attribué ce second coup de pied à F______ et bien qu'il s'en défende, A______ a bien poursuivi la partie plaignante ainsi que relaté par le témoin O______. Le recoupement entre ces diverses déclarations conforte donc les déclarations de l'arbitre. La question de savoir si ce second coup de pied a fait chuter la partie plaignante, comme elle l'affirme, ou l'a seulement déséquilibrée, demeure ouverte, mais cela n'a pas de conséquence. 2.4.6. Enfin, l'arbitre est parvenu au banc de touche du FC L______ et a été rejoint par au moins deux des trois prévenus, dont A______. Malgré ses dénégations et comme il vient d'être retenu, cet appelant a bien poursuivi l'arbitre et lui a, ce faisant, donné un coup de pied ; il est ainsi logique qu'il ait continué de pourchasser la partie plaignante jusqu'au banc de touche où un dernier incident est survenu. Les témoins N______ et O______ ont décrit que la partie plaignante avait été violemment frappée lors de cette dernière phase, ce qui conforte la déclaration à ce sujet de l'intimé, à l'exception, comme déjà développé, du fait qu'il aurait été frappé alors qu'il gisait au sol et aurait perdu connaissance. Le second témoin a clairement désigné A______ comme ayant violemment " tabassé " l'arbitre à ce moment. Logiquement, ayant échappé à ceux qui tentaient de le maîtriser, dont son frère C______ était également présent à ce stade de la chronologie. Il est possible qu'il a également frappé la partie plaignante, ainsi que celle-ci l'affirme, mais cela n'est pas certain. En tout état, il n'a rien fait pour interrompre son comparse. Au contraire, par sa présence, il n'a pu que lui fournir un soutien moral, étant rappelé qu'il était à l'origine de toute l'altercation. Quant à F______, il a aussi rejoint l'arbitre, ce qu'il a admis lors des débats d'appel, expliquant l'avoir fait pour présenter des excuses au nom de son frère, mais il n'est pas établi qu'il se serait alors joint à ses coprévenus pour frapper l'intimé et cela serait peu cohérent avec ce qui a été retenu de son comportement précédemment. Il faut donc admettre, toujours au bénéfice du doute, qu'il disait vrai lorsqu'il s'est écrié, à la fin des événements, qu'il n'avait pas donné de coups.</w:t>
      </w:r>
    </w:p>
    <w:p>
      <w:r>
        <w:rPr>
          <w:b/>
        </w:rPr>
        <w:t>E. 2.5</w:t>
      </w:r>
    </w:p>
    <w:p>
      <w:r>
        <w:t>Au regard de ce qui précède, le nombre de coups essuyé par l'intimé se situe entre dix et quinze environ, soit les trois ou quatre premières frappes à la tête et au visage de la part de C______, la gifle et les deux autres coups paume ouverte de A______, les deux coups de pieds, enfin quelques coups au moins, violents, de la part de ce prévenu. Ces frappes ont causé les lésions décrites dans l'acte d'accusation.</w:t>
      </w:r>
    </w:p>
    <w:p>
      <w:r>
        <w:rPr>
          <w:b/>
        </w:rPr>
        <w:t>E. 2.6</w:t>
      </w:r>
    </w:p>
    <w:p>
      <w:r>
        <w:t>Il est indiscuté que plusieurs autres personnes présentes, soit des joueurs ou membres des équipes, des spectateurs et l'arbitre qui officiait sur le terrain voisin sont intervenus mais cela exclusivement dans le but de protéger l'arbitre, notamment en contenant C______, ou de calmer les choses. Il n'a jamais été question d'une quelconque action de la part de l'un ou l'autre de ces intervenants, A______ lui-même ne soutenant pas que le choc qu'il a subi au niveau de l'oreille était la conséquence d'un coup donné volontairement. Tout au plus a-t-il donc pu, dans la mêlée, être heurté involontairement. b. Propos menaçants et injurieux attribués à C______</w:t>
      </w:r>
    </w:p>
    <w:p>
      <w:r>
        <w:rPr>
          <w:b/>
        </w:rPr>
        <w:t>E. 2.7</w:t>
      </w:r>
    </w:p>
    <w:p>
      <w:r>
        <w:t>Les propos encore reprochés à C______ au stade de l'appel ont été rapportés par l'intimé (" va te faire foutre avec ton s'il te plaît, connard " et " je t'emmerde, enculé" ) et le témoin V______ (" on se verra après le match "), alors que S______ a narré avoir entendu quelque chose de très similaire (" tu verras ce que je vais te faire si tu me mets un deuxième jaune "). S'il a été estimé ci-dessus qu'il fallait apprécier avec rigueur les déclarations de la partie plaignante concernant l'assaut physique dont elle a été victime, cela ne signifie pas encore qu'elle serait privée de toute crédibilité. Au contraire, il a aussi été retenu qu'il n'y avait pas chez elle de volonté d'en rajouter, par esprit de vengeance ou par intérêt pécuniaire. Les fragilités qui ont été relevées dans son récit s'expliquent par des circonstances (émotion et choc après les faits, mauvaise qualité des photographies des prévenus et ressemblance entre les frères C______/F______) qui sont sans pertinence pour la phase qui a précédé le premier coup, lors de laquelle l'intimé faisait face au seul C______, sans confusion possible, et alors qu'il est établi que ce prévenu avait fortement réagi après avoir reçu un premier carton, jaune, si bien que l'arbitre lui a infligé un carton rouge, sanctionnant cette réaction, qui devait donc bien être très excessive. Il n'y a pas de raison non plus de s'écarter des déclarations des deux témoins précités. S______ a certes été confus dans son récit afférent à l'assaut subi par l'arbitre mais pas dans celui relatif aux propos tenus par le joueur sanctionné ; V______ a livré une déposition qu'il voulait plutôt à décharge, allant jusqu'à soutenir que les termes " on se verra après le match " pouvaient aussi bien signifier une intention de discuter que celle d'en découdre, et que lorsqu'il s'était avancé vers l'intimé, C______ ne le menaçait pas, alors qu'on sait qu'il s'est jeté sur lui pour le frapper. Il est par ailleurs crédible que C______ a tenu des propos menaçants ou insultants vu l'ensemble du contexte, soit qu'il s'estimait, à l'instar de plusieurs membres de son équipe, mal traité par l'arbitre, puis injustement objet du carton jaune et qu'il en a été habité par une colère si forte qu'il s'est ensuite rué sur lui pour le frapper. Cet appelant a d'ailleurs concédé qu'il avait pu insulter l'arbitre, même s'il affirme l'avoir fait en albanais. Or, la faible maîtrise de la langue française de l'intéressé n'est pas déterminante, les propos en cause n'ayant rien de sophistiqué et étant fort courants, de sorte qu'un individu vivant en Suisse romande depuis 2012, sans parler de son premier séjour, lorsqu'il était enfant, doit les connaître. Il sera donc retenu que ces propos sont établis, tout comme il est démontré que l'intimé a été effrayé par les menaces, étant rappelé qu'avant de sortir le carton rouge, il a demandé aux capitaines des deux équipes de l'entourer pour assurer sa sécurité.</w:t>
      </w:r>
    </w:p>
    <w:p>
      <w:r>
        <w:rPr>
          <w:b/>
        </w:rPr>
        <w:t>E. 3</w:t>
      </w:r>
    </w:p>
    <w:p>
      <w:r>
        <w:t>3.1.1. L'art. 134 CP réprime le comportement de celui qui, notamment, aura participé à une agression dirigée contre une personne au cours de laquelle celle-ci aura subi des lésions corporelles. A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personne agressée n'ait pas eu elle-même, au moment de l'attaque, une attitude agressive, impliquant que le déclenchement de la bagarre, en définitive, dépendait surtout du hasard, et qu'elle ait par la suite conservé une attitude passive ou alors uniquement cherché à se défendre. En revanche, si la réaction défensive dépasse par son intensité et sa durée ce qui était nécessaire pour se défendre, l'agression peut se transformer en rixe (arrêts du Tribunal fédéral 6B_543/2018 du 21 juin 2018 consid. 1.1.2 ; 6B_745/2017 du 12 mars 2018 consid. 2.3). Pour que les éléments constitutifs de l'agression, infraction de mise en danger abstraite, soient réunis, il faut, notamment, que la personne agressée soit blessée. L'auteur se rend passible d'une peine du seul fait de sa participation à cette agression ; il suffit ainsi de prouver son intention d'y participer, sans qu'il ne soit nécessaire d'établir qu'il ait voulu provoquer des lésions corporelles (ATF 135 IV 152 consid. 2.1.1 ; arrêts du Tribunal fédéral 6B_402/2019 du 27 août 2019 consid. 2.2 ; 6B_157/2016 du 8 août 2016 consid. 6.3 précisant que la participation peut être fournie de diverses manières [physique, psychologique ou verbale]). En effet, si le législateur n'a pas souhaité poursuivre pénalement les participants à une simple bagarre, celle-ci dépasse ce qui doit être toléré lorsqu'une victime est effectivement blessée. Dès lors, la condamnation de l'auteur dépend de la réalisation de conditions qui sont indépendantes de sa volonté et de toute contribution de sa part (arrêt du Tribunal fédéral 6B_101/2014 du 10 novembre 2014 consid. 2.2). En d'autres termes, l'auteur doit participer à l'agression, sans qu'il soit forcément nécessaire qu'il commette des " actes d'exécution " et sans qu'il ait voulu ou accepté qu'une personne soit blessée (arrêt du Tribunal fédéral 6B_448/2012 du 22 novembre 2012 consid. 2.1). Lorsque les actes agressifs se succèdent, l'agression (ou la rixe) peut être retenue pour autant qu'il y ait un enchaînement direct des événements commandant de considérer les faits comme une unité (ATF 137 IV 1 ; arrêt non publié 6B_157/2016 6.4 ; A. MACALUSO / L. MOREILLON / N. QUELOZ (éds), Commentaire romand, Code pénal II, vol. II, Partie spéciale : art. 111-392 CP, Bâle 2017, nos 12 ad art. 134 et 14 ad art. 133). 3.1.2. L'art. 123 CP réprime les lésions du corps humain ou de la santé qui ne peuvent être qualifiées de graves au sens de l'art. 122 CP. 3.1.3.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(arrêt du Tribunal fédéral 6B_373/2011 du 14 novembre 2011 consid. 3.4). S'il peut être établi que l'un des agresseurs, intentionnellement ou par négligence, cause des lésions corporelles, l'infraction visée par les art. 122 ss CP absorbe, en ce qui le concerne, l'agression au sens de l'art. 134 CP. En effet, l'infraction de lésions corporelles saisit et réprime déjà la mise en danger effective de la personne blessée lors de l'agression. Le concours entre l'art. 134 CP et les art. 111 ss ou 122 ss CP ne peut être envisagé que si, ensuite d'une agression, une personne déterminée autre que celle qui a été tuée ou blessée a été effectivement mise en danger ou, lorsque la personne, qui a été blessée lors de l'agression, n'a subi que des lésions corporelles simples, mais que la mise en danger créée a dépassé en intensité le résultat intervenu (ATF 135 IV 152 consid. 2.1 ; arrêt du Tribunal fédéral 6B_1257/2020 du 12 avril 2021 consid. 2.1).</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est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w:t>
      </w:r>
    </w:p>
    <w:p>
      <w:r>
        <w:rPr>
          <w:b/>
        </w:rPr>
        <w:t>E. 3.3</w:t>
      </w:r>
    </w:p>
    <w:p>
      <w:r>
        <w:t>Dans la mesure où il a été retenu ci-avant que l'appelant F______ n'était intervenu que pour contenir son frère, aucun comportement pénalement répréhensible ne saurait lui être attribué, fut-ce au titre de la coactivité, faute d'adhésion aux agissements de ses coprévenus.</w:t>
      </w:r>
    </w:p>
    <w:p>
      <w:r>
        <w:rPr>
          <w:b/>
        </w:rPr>
        <w:t>E. 3.4</w:t>
      </w:r>
    </w:p>
    <w:p>
      <w:r>
        <w:t>À raison, les deux autres prévenus de même que le MP et l'intimé reconnaissent que le comportement des deux premiers répond à tout le moins à la qualification juridique de lésions corporelles simples, vu la nature des lésions subies par la victime, tant en qualité d'auteur direct des frappes que chacun a donné que de coauteur de celles infligées par l'autre.</w:t>
      </w:r>
    </w:p>
    <w:p>
      <w:r>
        <w:rPr>
          <w:b/>
        </w:rPr>
        <w:t>E. 3.5</w:t>
      </w:r>
    </w:p>
    <w:p>
      <w:r>
        <w:t>L'argument de la rixe plaidé à titre subsidiaire par la défense doit être évacué faute du moindre geste agressif des autres protagonistes, victime comprise.</w:t>
      </w:r>
    </w:p>
    <w:p>
      <w:r>
        <w:rPr>
          <w:b/>
        </w:rPr>
        <w:t>E. 3.6</w:t>
      </w:r>
    </w:p>
    <w:p>
      <w:r>
        <w:t>Reste la question du concours avec l'agression. Si le cas est limite, il sera retenu qu'on ne peut supposer que la mise en danger de la victime a dépassé en intensité le résultat survenu (ce qui aurait du reste dû conduire le TP a retenir la qualification juridique d'agression en concours avec celle de lésions corporelles simples et non exclusivement la première). En effet, les blessures présentées par l'intimé sont nombreuses et, sans relever du cas grave, relativement sérieuses, de sorte qu'elles apparaissent être la conséquence raisonnablement envisageable et envisagée de la quinzaine de coups au plus retenus, dont aucun coup de pied à la tête. Rien ne permet partant d'affirmer que l'intimé a concrètement couru le risque d'être blessé plus grièvement qu'il ne l'a été, voire que sa vie aurait été mise en danger, ni même que l'un ou l'autre des prévenus l'aurait contemplé et accepté. D'ailleurs, comme relevé du côté de la défense, l'acte d'accusation décrit des lésions corporelles en coactivité par référence à celles effectivement subies par l'intimé, non une mise en danger d'une intensité supérieure.</w:t>
      </w:r>
    </w:p>
    <w:p>
      <w:r>
        <w:rPr>
          <w:b/>
        </w:rPr>
        <w:t>E. 3.7</w:t>
      </w:r>
    </w:p>
    <w:p>
      <w:r>
        <w:t>En conclusion, les appels des prévenus sont admis ; F______ est acquitté des faits reprochés alors que C______ et A______ sont reconnus coupables de lésions corporelles simples.</w:t>
      </w:r>
    </w:p>
    <w:p>
      <w:r>
        <w:rPr>
          <w:b/>
        </w:rPr>
        <w:t>E. 4</w:t>
      </w:r>
    </w:p>
    <w:p>
      <w:r>
        <w:t>4.1.1. 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4.1.2. Se rend coupable d'injure celui qui aura, par la parole, l'écriture, l'image, le geste ou par des voies de fait, attaqué autrui dans son honneur (art. 177 al. 1 CP).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6B_125/2020 du 22 avril 2021 consid. 5.2). Pour apprécier si une déclaration est attentatoire à l'honneur, il faut procéder à une interprétation objective selon le sens que le destinataire non prévenu devait, dans les circonstances d'espèce, lui attribuer (ATF 137 IV 313 consid. 2.1.3 ; arrêt du Tribunal fédéral 6B_1149/2019 du 15 janvier 2020 consid. 5.1). Les mêmes termes n'ont donc pas nécessairement la même portée suivant le contexte dans lequel ils sont employés (ATF 118 IV 248 consid. 2b).</w:t>
      </w:r>
    </w:p>
    <w:p>
      <w:r>
        <w:rPr>
          <w:b/>
        </w:rPr>
        <w:t>E. 4.2</w:t>
      </w:r>
    </w:p>
    <w:p>
      <w:r>
        <w:t>Le temps consacré à des entretiens avec C______ par son défenseur d'office sera ramené, vu l'exigence d'expédience, à deux heures, amplement suffisantes pour l'orienter sur l'opportunité et le déroulement de la procédure d'appel puis pour préparer les débats avec lui, étant rappelé que l'avocat travaillait avec son client depuis le début de la procédure. Les dix heures restantes facturées pour la gestion de la procédure d'appel et la préparation des débats paraissent adéquates. La rémunération dudit conseil sera partant arrêtée à CHF 5'158.- (= (21h40 x CHF 200.- + le forfait de 10% [CHF 427.-] + la vacation à l'audience [CHF 100.-] + la TVA de 7.7 % [CHF 364]).</w:t>
      </w:r>
    </w:p>
    <w:p>
      <w:r>
        <w:rPr>
          <w:b/>
        </w:rPr>
        <w:t>E. 4.3</w:t>
      </w:r>
    </w:p>
    <w:p>
      <w:r>
        <w:t>L'étude du jugement de première instance par M e H______ tombe sous le coup du forfait dédié aux opérations diverses. Le temps consacré à la gestion de la procédure et à la préparation de l'audience d'appel sera ramené à une durée raisonnable, soit 10 heures. La rémunération de M e H______ sera ainsi arrêtée à CHF 5'137.50, correspondant à 21 heures et 40 minutes d'activité au tarif de CHF 200.-/heure + la majoration forfaitaire de 10% (CHF 428.-) + la vacation au Palais de justice (CHF 100.-) + la TVA à 7.7% (CHF 329.50).</w:t>
      </w:r>
    </w:p>
    <w:p>
      <w:r>
        <w:rPr>
          <w:b/>
        </w:rPr>
        <w:t>E. 4.4</w:t>
      </w:r>
    </w:p>
    <w:p>
      <w:r>
        <w:t>La note de frais de M e J______ satisfait aux exigences légales. Elle sera complétée de la durée de l'audience devant la Cour ainsi que la vacation au Palais de justice (CHF 75.-). La rémunération du conseil juridique gratuit de la partie plaignante sera ainsi arrêtée à CHF 3'042.50.- (= ([16 heures x CHF 150.-] + [0.5 x CHF 200.-] + le forfait de 10 % [CHF 250.-] + la vacation au Palais de justice [CHF 75.-] + la TVA à 7.7% [CHF 217.50]). * * * * *</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Il y a lieu de tenir compte, en tant que facteur de fixation de la peine, d'une publication préjugeant de la culpabilité d'une personne soupçonnée dans les comptes rendus de la presse, selon la gravité de l'atteinte aux droits. Ceci est par exemple le cas, lorsqu'une conférence de presse donnée par le Procureur de la Confédération préjuge de la culpabilité du prévenu en influençant lourdement les organes de poursuite pénale (ATF 128 IV 97 consid. 3b/aa). Il appartient au prévenu de démontrer en quoi la médiatisation dénoncée a conduit à ce qu'il soit préjugé et lui a causé un préjudice important (ATF 128 IV 97 consid. 3b/bb ; arrêts du Tribunal fédéral 6B_693/2020 du 18 janvier 2021 consid. 6.4.2 ; 6B_122/2017 du 8 janvier 2019 consid. 11.5.1). La couverture médiatique de l'affaire pénale n'implique pas obligatoirement une diminution de la peine, quand bien même celle-ci fût intensive et outrancière (arrêts du Tribunal fédéral 6B_693/2020 précité consid. 6.4.2 ; 6B_800/2016 du 25 octobre 2017 consid. 1.3 non publié in ATF 143 IV 397 ). 5.1.2. Les critères applicables au choix de la peine sont les mêmes que ceux qui fondent la mesure de celle-ci ; l'opportunité d'une sanction déterminée joue un rôle important et les décisions sur ces points exercent l'une sur l'autre une influence réciproque (ATF 120 IV 67 consid. 2b). Pour déterminer le genre de peine devant sanctionner une infraction au regard de l'art. 47 CP, il convient ainsi notamment de tenir compte de la culpabilité de l'auteur (ATF 144 IV 217 consid. 3.3.1). Le système même du CP implique que la culpabilité de l'auteur ait une influence sur le genre de la peine prononcée, puisque les infractions les plus graves doivent en principe être sanctionnées par une peine privative de liberté et non par une peine pécuniaire (arrêt du Tribunal fédéral 6B_1308/2020 du 5 mai 2021 consid. 3.2 destiné à publication). En revanche,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144 IV 313 consid. 1.1.1 ; 137 II 297 consid. 2.3.4). Si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313 consid. 1.1.1). 5.1.3.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(ATF 144 IV 217 consid. 2.2). Si les sanctions envisagées concrètement ne sont pas du même genre, elles doivent être prononcées cumulativement (ATF 142 IV 265 consid. 2.3.2).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5.1.4. Aux termes de l'art. 51 1 ère phrase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qui dispose d'un pouvoir d'appréciation important, prendra en considération l'ampleur de la limitation de la liberté personnelle découlant pour l'intéressé des mesures de substitution, en comparaison avec la privation de liberté subie lors d'une détention avant jugement (ATF 140 IV 74 consid. 2.4). Le dépôt des papiers d'identité, et par conséquent l'interdiction de quitter le territoire suisse, ne constitue pas une entrave à la liberté dans la mesure où il ne ressortirait pas de la procédure qu'une demande de sortie du territoire suisse formulée par l'intéressé aurait été refusée (arrêt du Tribunal fédéral 6B_147/2021 du 29 septembre 2021 consid. 3.3). Une imputation de deux jours en raison d'un traitement ambulatoire consistant en une dizaine de séances de 50 minutes est conforme à la jurisprudence, tandis qu'aucune déduction n'est nécessaire pour l'obligation de se soumettre à une assistance de probation (arrêt du Tribunal fédéral 6B_115/2018 du 30 avril 2018 consid. 6). L'obligation de se présenter hebdomadairement à un poste de police s'étendant sur plusieurs mois porte atteinte à la liberté personnelle de l'intéressée. Cette atteinte doit être reportée, même marginalement, sur la peine privative de liberté. Etant rappelé qu'une imputation de quelques jours seulement est envisageable lorsque l'atteinte est particulièrement faible (arrêts du Tribunal fédéral 6B_772/2020 du 8 décembre 2020 consid. 3.3 et 6B_906/2019 du 7 mai 2020 consid. 1.3 : concluant qu'une imputation de 15 jours était suffisante).</w:t>
      </w:r>
    </w:p>
    <w:p>
      <w:r>
        <w:rPr>
          <w:b/>
        </w:rPr>
        <w:t>E. 5.2</w:t>
      </w:r>
    </w:p>
    <w:p>
      <w:r>
        <w:t>La culpabilité des deux appelants condamnés est lourde. Ils s'en sont pris, à deux, à un homme plus âgé, qui donnait bénévolement de son temps pour leur permettre, ainsi qu'à d'autres, de pratiquer une activité sportive. Peu importe que son arbitrage laissât, selon eux, à désirer, il leur aurait appartenu de maîtriser leur frustration. Au lieu de cela, C______ a d'abord verbalement porté atteinte à l'honneur et à la liberté de l'intimé, puis s'est rué sur lui pour le frapper. Son comparse s'est joint à lui. A eux deux, ils ont causé à leur victime des blessures et séquelles qui demeurent dans la limite du cas simple mais se situent néanmoins dans la fourchette supérieure, notamment en raison de leur nombre. L'intimé en a souffert physiquement mais aussi psychologiquement. La détermination du premier, qui est passé de la parole au geste puis s'est vivement débattu tout en dégageant des coups, alors que des personnes présentes, dont son propre frère, tentaient de le maîtriser, est forte. Celle de A______ l'est également, d'une manière différente, dès lors qu'il n'a pas hésité à poursuivre l'arbitre qui tentait de fuir, alors que le " brouillard " dont il se prévaut devait s'être dissipé ; il s'est ensuite montré particulièrement violent. Le mobile est futile, d'autant plus vu le contexte d'un match de football sans enjeu, et totalement égocentrique. La collaboration de ces deux appelants a été médiocre. Si C______ a admis d'emblée qu'il s'était lancé sur l'arbitre pour le frapper, il a néanmoins tenté de minimiser son implication et nié jusqu'en appel les infractions de menaces et injure. A______ a finalement admis une partie seulement des faits. Leur prise de conscience est également à parfaire, dès lors qu'ils semblent continuer de penser que leur comportement s'expliquerait, à défaut de se justifier, par les errements de l'arbitre ou le choc au niveau de l'oreille subi par A______. Néanmoins, ce dernier a fait davantage de chemin, ayant, certes seulement après le prononcé du verdict de première instance, entrepris d'indemniser la partie plaignante. C______ n'a pas d'antécédent, ce qui est d'un effet neutre sur la peine, alors que A______ en compte deux, mais non spécifiques. Leur situation personnelle est compliquée mais cela n'explique en rien leur passage à l'acte. 5.3.1. La quotité de la sanction adéquate pour l'infraction de lésions corporelles inpose le choix d'une peine privative de liberté. 5.3.2. Il convient d'opter pour le même genre de peine pour les menaces retenues à l'encontre de C______. Les deux infractions sont en effet étroitement liées, procédant de la même motivation, la faute est lourde et la prise de conscience insuffisante de sorte qu'un signal clair s'impose. Abstraction faite de la qualification juridique retenue, la première juge a procédé à une correcte appréciation des critères pertinents, tels que discutés ci-dessus, et du principe d'aggravation en arrêtant la sanction à 15 mois et en fixant celle pour l'injure à trente jours-amende à CHF 30.- l'unité. 5.3.3. La peine privative de liberté de 12 mois infligée à A______ est également adéquate, son implication dans le passage à tabac de l'arbitre n'étant pas moindre de celle de son comparse. Certes, ce dernier a été le déclencheur, mais A______ s'est joint à son action de son propre mouvement et a ensuite agi avec une détermination tout aussi forte de sorte que leur faute pour les lésions corporelles simples est équivalente.</w:t>
      </w:r>
    </w:p>
    <w:p>
      <w:r>
        <w:rPr>
          <w:b/>
        </w:rPr>
        <w:t>E. 5.4</w:t>
      </w:r>
    </w:p>
    <w:p>
      <w:r>
        <w:t>Le bénéfice du sursis, dont les conditions sont du reste réalisées, n'est pas contesté et est partant acquis. 5.5.1. Les mesures de substitution imposées à C______ n'ont pas emporté d'atteinte à sa liberté à l'exception de l'obligation de déposer ses papiers et de l'interdiction de quitter le pays. Toutefois, il a été autorisé à se déplacer à l'étranger lorsqu'il l'a demandé, de sorte qu'il n'a subi aucun dommage de ce fait non plus. Il n'y a donc pas lieu d'imputer les mesures de substitution de la peine. 5.5.2. En sus des mêmes mesures, avec les mêmes allégements, A______ a été soumis à une obligation de suivre des séances de thérapie contre la violence, sous la surveillance du SPI, qui a pris la forme de 16 séances. Bien qu'il n'a pu que tirer bénéfice de cette astreinte, vu les faits retenus à son encontre, il demeure qu'elle a en effet impliqué une atteinte à sa liberté qui peut être assimilée à une détention de quatre jours, à imputer de la peine, en sus des jours d'incarcération provisoire.</w:t>
      </w:r>
    </w:p>
    <w:p>
      <w:r>
        <w:rPr>
          <w:b/>
        </w:rPr>
        <w:t>E. 5.6</w:t>
      </w:r>
    </w:p>
    <w:p>
      <w:r>
        <w:t>L'appel joint du MP est ainsi rejeté et celui de A______ sur la déduction à opérer sur la peine admis, dans la faible mesure qui précède.</w:t>
      </w:r>
    </w:p>
    <w:p>
      <w:r>
        <w:rPr>
          <w:b/>
        </w:rPr>
        <w:t>E. 6</w:t>
      </w:r>
    </w:p>
    <w:p>
      <w:r>
        <w:t>6.1.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6.2</w:t>
      </w:r>
    </w:p>
    <w:p>
      <w:r>
        <w:t>Les lésions corporelles simples, menaces ou injure échappant à la liste de l'art. 66a CP, le prononcé de l'expulsion des deux condamnés est facultatif. Faisant usage de son pouvoir d'appréciation, la CPAR y renoncera, tenant compte du caractère isolé et circonstanciel du passage à l'acte qui est reproché à ces appelants, d'où un risque concret de récidive inexistant, et des conséquences lourdes d'une telle mesure sur leur situation personnelle, ce non sans souligner que l'intérêt public de la Suisse à éradiquer de tels événements des terrains de sport est indéniable.</w:t>
      </w:r>
    </w:p>
    <w:p>
      <w:r>
        <w:rPr>
          <w:b/>
        </w:rPr>
        <w:t>E. 7</w:t>
      </w:r>
    </w:p>
    <w:p>
      <w:r>
        <w:t>Les condamnés n'ont pas pris de conclusions contestant les prétentions civiles de la partie plaignante, A______ précisant qu'il s'en rapportait à justice. La question étant régie par la maxime de disposition, il n'y a pas lieu de revenir sur le dispositif du jugement de première instance.</w:t>
      </w:r>
    </w:p>
    <w:p>
      <w:r>
        <w:rPr>
          <w:b/>
        </w:rPr>
        <w:t>E. 8</w:t>
      </w:r>
    </w:p>
    <w:p>
      <w:r>
        <w:t>8.1.1.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Tribunal fédéral 6B_369/2018 du 7 février 2019 consid. 4.1 non publié aux ATF 145 IV 90 ).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précité consid. 4.1 non publié aux ATF 145 IV 90 ). 8.1.2. A______ obtient pour l'essentiel satisfaction, étant précisé qu'il avait indiqué que la peine n'était pas un véritable enjeu, et F______ entièrement. C______ succombe en revanche en ce qu'il contestait sa culpabilité des chefs d'injure et de menaces. Il supportera partant 1/10 ème de l'émolument complémentaire de motivation par CHF 3'000.- et des frais de la procédure d'appel, comprenant un émolument d'arrêt de CHF 4'000.- (art. 428 al. 1 CPP et art. 14 al. 1 let e du Règlement fixant le tarif des frais en matière pénale [RTFMP]). 8.2.1. Aux termes de l'art. 428 al. 3 CPP, si l'autorité de recours rend elle-même une nouvelle décision, elle se prononce également sur les frais fixés par l'autorité inférieure. 8.2.2. Vu son acquittement, F______ doit être libéré des frais de la procédure préliminaire et de première instance, alors que C______ et A______, dont la condamnation, avec ses conséquences, subsiste, en supporteront chacun 1/3 (hors émolument de motivation, dont le sort suit celui des frais de la procédure d'appel).</w:t>
      </w:r>
    </w:p>
    <w:p>
      <w:r>
        <w:rPr>
          <w:b/>
        </w:rPr>
        <w:t>E. 9</w:t>
      </w:r>
    </w:p>
    <w:p>
      <w:r>
        <w:t>9.1. Au bénéfice d'une défense privée, A______ n'a pas pris de conclusions en indemnisation au sens de l'art. 429 al. 1 let. a cum art. 436 CPP, quand bien même il y avait été invité. Il est dès lors réputé y avoir renoncé.</w:t>
      </w:r>
    </w:p>
    <w:p>
      <w:r>
        <w:rPr>
          <w:b/>
        </w:rPr>
        <w:t>E. 9.2</w:t>
      </w:r>
    </w:p>
    <w:p>
      <w:r>
        <w:t>Pour sa part, F______ peut prétendre à une indemnisation pour les 19 jours de détention provisoire subie à tort (art. 429 al. 1 let. c), à l'exclusion des mesures de substitution, vu la faible atteinte à sa liberté personnelle. Il a pris des conclusions à ce titre par CHF 3'000.- ce qui n'est pas excessif au regard de la pratique constante de sorte qu'elles seront admises.</w:t>
      </w:r>
    </w:p>
    <w:p>
      <w:r>
        <w:rPr>
          <w:b/>
        </w:rPr>
        <w:t>E. 10</w:t>
      </w:r>
    </w:p>
    <w:p>
      <w:r>
        <w:t>10.1.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10% lorsque l'état de frais porte sur plus de 30 heures de travail pour l'ensemble de la procédure, couvrant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et CHF 100.- pour les chefs d'étude, dite rémunération étant allouée d'office par la juridiction d'appel pour les débats devant elle. 10.4.1. L'activité utile à la défense de A______ par son avocat d'office se limite au dépôt de l'annonce d'appel et à la transmission du dossier à son successeur, constitué en qualité de défenseur privé, ce qui implique une quinzaine de minutes au plus, d'où une rémunération de CHF 59.- (CHF 50.- + le forfait de 10% [CHF 5.-] et la TVA par 7,7 % [CHF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