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P/17050/2019 vom 24. April 2023</w:t>
      </w:r>
    </w:p>
    <w:p>
      <w:r>
        <w:t>GE Cour de justice, 2023-04-24, FR</w:t>
      </w:r>
    </w:p>
    <w:p>
      <w:r>
        <w:rPr>
          <w:b/>
        </w:rPr>
        <w:t xml:space="preserve">Quelle: </w:t>
      </w:r>
      <w:r>
        <w:t>https://mcp.opencaselaw.ch/entscheid/ge_gerichte_P_17050_2019</w:t>
      </w:r>
    </w:p>
    <w:p>
      <w:r>
        <w:t>FR: GE_GERICHTE P/17050/2019 du 24 avril 2023</w:t>
      </w:r>
    </w:p>
    <w:p>
      <w:r>
        <w:t>IT: GE_GERICHTE P/17050/2019 del 24 aprile 2023</w:t>
      </w:r>
    </w:p>
    <w:p>
      <w:pPr>
        <w:pStyle w:val="Heading2"/>
      </w:pPr>
      <w:r>
        <w:t>Regeste</w:t>
      </w:r>
    </w:p>
    <w:p>
      <w:r>
        <w:t>IN DUBIO PRO REO;VOIES DE FAIT;MENACE(DROIT PÉNAL);CONTRAINTE(DROIT PÉNAL);TENTATIVE(DROIT PÉNAL);VIOLATION DU DEVOIR D'ASSISTANCE OU D'ÉDUCATION | CP.126.al1; CP.180.al1; CP.181; CP.219.al1; CP.126.al2.letb; CP.47; CP.49; CP.42.al1; CP.44; CP.51</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Confédération suisse (Cst.) en matière d'appréciation anticipée des preuves (arrêts du Tribunal fédéral 6B_1173/2016 du 7 août 2017 consid. 2.1 ; 6B_71/2016 du 5 avril 2017 consid. 2.1.3).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rPr>
          <w:b/>
        </w:rPr>
        <w:t>E. 2.2</w:t>
      </w:r>
    </w:p>
    <w:p>
      <w:r>
        <w:t>Les courriers versés au dossier au stade de l'audience d'appel sur lesquels le curateur des enfants souhaite faire entendre G______ concernent des faits actuels alors que la Cour doit se prononcer sur eux datant de 2019 en appréciant les déclarations de l'intéressée à ce sujet ainsi que les éléments du dossier se rapportant à cette période. Il n'est ainsi pas utile d'entendre G______. L'écoulement du temps et la fragilité actuelle de cette dernière rendent vaine la certitude qu'une nouvelle audition apporterait des éléments utiles à l'affaire. Par conséquent, la réquisition de preuve est rejetée.</w:t>
      </w:r>
    </w:p>
    <w:p>
      <w:r>
        <w:rPr>
          <w:b/>
        </w:rPr>
        <w:t>E. 3.1</w:t>
      </w:r>
    </w:p>
    <w:p>
      <w:r>
        <w:t>Le principe in dubio pro reo ,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parole contre parole ", dans lesquels les déclarations de la victime en tant que principal élément à charge et les déclarations contradictoires de la personne accusée s'opposent, ne doivent pas nécessairement conduire à un acquittement sur la base du principe in dubio pro reo . L'appréciation définitive de ces déclarations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Contexte</w:t>
      </w:r>
    </w:p>
    <w:p>
      <w:r>
        <w:rPr>
          <w:b/>
        </w:rPr>
        <w:t>E. 3.2</w:t>
      </w:r>
    </w:p>
    <w:p>
      <w:r>
        <w:t>Il convient de relever à titre préliminaire que les déclarations constantes de G______ et de l'appelant, les inscriptions au journal de l'Hospice général et le témoignage de L______, permettent de tenir pour établi que la vie du couple était, depuis plusieurs années, émaillée de disputes et que les faits du 20 août 2019 se sont déroulés dans un contexte de conflit conjugal récurrent émaillé de nombreuses disputes, ce que l'appelant a finalement admis. Bien qu'en minimisant leur intensité, il a reconnu que le mariage arrangé avait engendré de grandes difficultés pour le couple, qui se trouvait dans une situation si conflictuelle que son épouse souhaitait le quitter. De son côté, en sus d'avoir évoqué ce conflit conjugal lors de ses auditions dans le cadre de la présente procédure, G______ a révélé que sa vie de couple se passait mal et qu'elle avait peur de son mari car il était jaloux, s'énervait et criait. Elle a également fait part de son désir de séparation, qu'elle refoulait toutefois par crainte. G______ ne retirait aucun bénéfice à s'adresser de la sorte à des tiers, dont L______ en 2018, soit plusieurs mois avant les faits ayant donné lieu à l'interpellation de l'appelant. Ses déclarations à cet égard sont donc considérées comme parfaitement crédibles. G______ s'est également montrée constante sur les violences physiques et verbales subies depuis le mariage, précisant qu'il en était allé ainsi même lorsqu'elle était enceinte. Ce récit a été confirmé par l'assistante sociale J______, ainsi que par le contenu du rapport d'intervention médicale du 20 août 2019. L'on voit mal quel aurait été l'intérêt de G______ de mentir à ce sujet à ses interlocuteurs alors même que son mari avait été interpellé, respectivement était déjà détenu, et qu'elle avait décidé de ne pas déposer plainte pénale à son encontre. Bien au contraire, faire de telles déclarations ne pouvait qu'être préjudiciable vu les menaces émanant notamment de la famille de l'appelant. Il n'est pas étonnant qu'elle se soit sentie capable de se livrer à des personnes de confiance (une assistante sociale et un médecin), après avoir été libérée de la présence et de l'ascendant de l'appelant. Que divers intervenants sociaux et professionnels n'aient jamais constaté de violences conjugales ou intrafamiliales n'est pas déterminant en lui-même, puisque, par définition, de tels actes et leurs stigmates sont dissimulés aux yeux des tiers. Les éléments du dossier tendent à indiquer que l'appelant se chargeait de manière générale de la gestion des affaires de la famille, se rendant en majorité seul aux rendez-vous fixés par les divers intervenants ou recevant ces derniers au domicile familial. Rien n'indique à première vue que G______ aurait été empêchée de sortir de chez elle par son mari. Elle ne s'est plainte qu'à une seule reprise en 2018 que ce dernier était jaloux des autres hommes, et colérique, ce qui ne signifie pas encore qu'elle était totalement privée de sa liberté de mouvement, mais permet d'entrevoir la dynamique de couple, marquée par des facteurs culturels forts. Il convient toutefois de relever à cet égard que la tendance inverse a été constatée par un intervenant, qui a décrit, en 2018 G______ comme " très forte et revendicatrice ", tandis que l'appelant semblait très fragile et pleurait très facilement. Cet élément ne conduit toutefois pas à conclure que l'appelant n'a pas pu se rendre coupable de violences intrafamiliales, mais permet de saisir une instabilité émotionnelle et psychologique, dont il a lui-même admis souffrir. Les époux se trouvaient dans une situation psychologique et sociale particulièrement précaire et difficile compte tenu de leur passé migratoire, de leur vécu dans leur pays d'origine, du fondement de leur mariage et du fossé culturel entre l'éducation qu'ils ont tous deux reçue en Afghanistan et les usages de leur pays d'accueil. Faits qualifiés de voies de fait (ch. 1.1.3 de l'AA)</w:t>
      </w:r>
    </w:p>
    <w:p>
      <w:r>
        <w:rPr>
          <w:b/>
        </w:rPr>
        <w:t>E. 3.2.1</w:t>
      </w:r>
    </w:p>
    <w:p>
      <w:r>
        <w:t>Les voies de fait, sanctionnées par l'art. 126 al. 1 CP et poursuivies d'office si l'auteur a agi à réitérées reprises contre son conjoint durant le mariage ou dans l'année qui a suivi le divorce (al. 2 let. b),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Ont notamment été qualifiés de voies de fait : une gifle, un coup de poing ou de pied, de fortes bourrades avec les mains ou les coudes (arrêts du Tribunal fédéral 6B_693/2017 du 24 août 2017 consid. 2.1 ; 6B_1009/2014 du 2 avril 2015 consid. 4.2)</w:t>
      </w:r>
    </w:p>
    <w:p>
      <w:r>
        <w:rPr>
          <w:b/>
        </w:rPr>
        <w:t>E. 3.2.2</w:t>
      </w:r>
    </w:p>
    <w:p>
      <w:r>
        <w:t>Le dossier permet de tenir pour établi que, le 20 août 2019, G______ s'est présentée chez son assistante sociale afin de procéder à une inscription à la crèche, pour laquelle il manquait la signature du père des enfants. G______ revenue deux heures plus tard, paniquée et en pleurs, ce que les deux assistants sociaux présents à ce moment-là ont confirmé et ce dont il n'y a pas lieu de douter. Les déclarations des époux concordent sur le fait que, durant ce laps de temps, une dispute a éclaté entre eux, l'appelant la qualifiant tantôt de petite, voire de normale, tantôt de forte. La première version de l'appelant ne convainc pas vu le sentiment de désespoir constaté chez son épouse. En tout état, G______ n'avait pas quitté l'appartement avec le sourire aux lèvres, comme l'affirme avec mauvaise foi l'appelant. G______ s'est montrée constante quant au fait qu'elle avait reçu plusieurs coups de poing au niveau de la tête ainsi qu'un coup de pied dans le dos. Au-delà de quelques divergences avec les explications fournies par les témoins J______ et I______, il doit être tenu compte du fait qu'elle s'est exprimée en français, langue qu'elle ne maîtrise pas, de surcroît dans un état de choc. Cela étant, selon les déclarations des assistants sociaux, G______ a utilisé les gestes pour expliciter ses propos, ce qui a pu leur permettre de comprendre aisément qu'elle avait été frappée au niveau de la tête, ce qui corrobore les déclarations de cette dernière, qui s'est plainte de coups répétés au niveau de la tête. Le coup de pied dans le dos évoqué par G______ n'a certes pas été mentionné par les assistants sociaux. Cependant, G______ pouvait difficilement mimer sur elle-même un tel coup. En tout état, aucun élément au dossier ne permet de douter de la véracité de ses déclarations à la police et au MP, étant relevé qu'il s'agit d'un élément de cette dispute parmi d'autres, qu'elle a pu omettre d'évoquer vu l'état dans lequel elle se trouvait. On l'imagine mal inventer tel geste, très spécifique, aux côtés de plusieurs coups de poing dans l'hypothèse d'un récit fallacieux visant à accuser l'appelant à tort. Les déclarations de la victime sont donc crédibles, contrairement aux dénégations fluctuantes et inconsistantes de l'appelant, l'absence de lésions ne signifiant pas qu'aucun coup n'a été donné et ne constituant pas un élément susceptible d'amoindrir la crédibilité de G______. Au regard de ce qui précède, il sera retenu que l'appelant a bien donné des coups de poing au niveau de la tête de son épouse ainsi qu'un coup de pied dans le dos, comportements constitutifs de voies de fait au sens de l'art. 126 CP. L'appel de A______ sera rejeté sur ce point. Faits qualifiés de contrainte et de tentative de contrainte (ch. 1.3.1 et 1.3.2 de l'AA) 3.3.1. Se rend coupable de contrainte selon l'art. 181 CP celui qui, en usant de violence envers une personne ou en la menaçant d'un dommage sérieux, ou en l'entravant de quelque autre manière dans sa liberté d'action, l'aura obligée à faire, à ne pas faire ou à laisser faire un acte. 3.3.2. Le bien juridiquement protégé par l'art. 181 CP est la liberté d'action, plus particulièrement la libre formation et le libre exercice de la volonté. La violence consiste dans l'emploi d'une force physique d'une certaine intensité à l'encontre de la victime (arrêt du Tribunal fédéral 6B_153/2017 du 28 novembre 2017 consid. 3.1). Pour admettre l'usage de la violence, il faut que l'acte auquel s'est livré l'auteur pour imposer sa volonté soit, de par sa nature et son intensité, propre à entraver la victime dans sa liberté d'action. Il se peut qu'une contrainte physique, d'une certaine intensité, ne parvienne pas à briser la volonté d'un homme expérimenté et de constitution robuste, mais provoque un tel résultat chez une victime inexpérimentée, une personne jeune, une femme ou encore quelqu'un de plus faible. C'est pourquoi, il y a lieu d'admettre l'emploi d'une telle violence dès que l'acte choisi par l'auteur, de par sa nature et son intensité, porte objectivement préjudice à l'autonomie de la volonté de la victime (ATF 101 IV 42 consid. 3a = JdT 1976 IV 108; M. DUPUIS / L. MOREILLON / C. PIGUET / S. BERGER / M. MAZOU / V. RODIGARI [éds], Code pénal - Petit commentaire , 2 ème éd., Bâle 2017, n. 10 ad art. 181). 3.3.3.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119 IV 301 consid. 2a). 3.3.4. Pour que la contrainte soit consommée, il faut que la victime, sous l'effet de moyens de contrainte illicites, commence à modifier son comportement, subissant ainsi l'influence voulue par l'auteur (arrêt du Tribunal fédéral 6B_719/2015 du 4 mai 2016 consid. 2.1). 3.3.5. Sur le plan subjectif, il faut que l'auteur ait agi intentionnellement, c'est-à-dire qu'il ait voulu contraindre la victime à adopter le comportement visé en étant conscient de l'illicéité de son comportement ; le dol éventuel suffit (ATF 120 IV 17 consid. 2c p. 22). 3.3.6. Vu la crédibilité globale de G______, la constance de ses déclarations au sujet du comportement décrit sous ch. 1.3.1, son caractère très spécifique, et le fait qu'elle n'avait aucune raison d'ajouter à son récit, celui-ci doit être considéré comme établi. Les conditions objectives et subjectives de l'infraction de contrainte sont réalisées. G______ a été entravée dans sa liberté d'action par l'appelant, lequel a fait usage d'une certaine violence alors qu'elle se trouvait dans une position de vulnérabilité, eu égard aux circonstances spécifiques à ce jour (violente dispute) ou des difficultés conjugales et familiales plus globales. Cela étant, cette infraction s'est arrêtée au stade de la tentative, dans la mesure où malgré les actes de l'appelant, G______ est parvenue à sortir de l'appartement, de sorte qu'elle n'a pas adopté le comportement souhaité par ce dernier. La culpabilité de l'appelant sera dès lors également confirmée s'agissant de cette infraction et son appel rejeté sur ce point. 3.3.7. L'appelant conteste avoir, à une date indéterminée, pris le téléphone portable de G______ afin de l'empêcher de communiquer avec des tiers, notamment avec sa famille. Si l'appelant a, de manière constante, nié avoir fait usage de la force pour récupérer le téléphone de son épouse, il admet le lui avoir pris, avec son accord toutefois, et l'avoir placé dans une armoire durant plusieurs jours tout en lui mettant son propre portable à disposition, dans le but qu'elle ait plus de temps pour s'occuper des enfants. Le téléphone de son épouse serait ainsi resté trois jours dans l'armoire, sans que cette dernière ne le reprenne alors même qu'elle en était parfaitement libre, ce qui est peu crédible. Il a par ailleurs modifié sa version des faits lorsqu'il a été entendu par l'expert psychiatre, reconnaissant avoir usé de la force pour s'emparer du téléphone de sa femme, ce qui achève d'entamer sa crédibilité. Au contraire, rien ne conduit à douter des déclarations de G______, le fait qu'elle évoque cet épisode démontrant qu'il l'avait particulièrement marquée. Dans le contexte de violences physiques et verbales, G______, qui subissait l'ascendant de son mari et se trouvait dans un état de vulnérabilité et de faiblesse psychique, n'a pu qu'être apeurée d'aller à l'encontre de la volonté de son époux en gardant ou en récupérant le téléphone confisqué, ce qui ressort de ses accusations et dont il n'y a pas lieu de douter. Elle a ainsi été entravée dans sa liberté d'action puisqu'elle n'était dès lors plus en mesure de communiquer librement avec des tiers. Au regard de ce qui précède, la culpabilité de l'appelant s'agissant de l'infraction de contrainte en lien avec les faits visés au chiffre 1.3.2 de l'AA sera confirmée et son appel rejeté sur ce point également. Faits qualifiés de menaces (ch. 1.2.2 à 1.2.4 de l'AA) 3.4.1. L'art. 180 al. 1 CP punit celui qui aura alarmé ou effrayé une personne par une menace grave. La poursuite a lieu d'office si l’auteur est le conjoint de la victime et que la menace a été commise durant le mariage ou dans l’année qui a suivi le divorce. 3.4.2.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3.4.3. Subjectivement, l'auteur doit avoir l'intention non seulement de proférer des menaces graves, mais aussi d'alarmer ou d'effrayer le destinataire. Le dol éventuel suffit (arrêts du Tribunal fédéral 6B_787/2018 du 1 er octobre 2018 consid. 3.1 ; 6B_1009/2014 du 2 avril 2015 consid. 3.1 ; 6B_598/2011 du 27 juillet 2012 consid. 1.1). 3.4.4. Lors de la perquisition du domicile de l'appelant, deux couteaux de cuisine ont été retrouvés et l'un d'entre eux a été désigné par G______ comme ayant servi aux menaces proférées à son encontre. L'appelant n'a pas contesté avoir été en train d'utiliser ledit couteau au moment où la dispute avait éclaté, mais a toujours nié avoir menacé sa femme avec celui-ci. Le récit de G______ a quant à lui été constant, sous réserve d'éléments de détails comme la distance entre le couteau brandi par son époux et son visage. Elle a fourni des détails chronologiques quant au déroulement de cet épisode en indiquant que son époux s'était saisi du couteau alors qu'elle s'était dirigée vers lui pour reprendre ses enfants. A cet égard, les variations sur la présence d'un ou des deux enfants dans les bras s'expliquer par le stress induit par la situation. Elle a systématiquement indiqué que l'appelant ne l'avait pas menacée de mort à ce moment-là mais uniquement de la " frapper avec le couteau ", ce qui coïncide avec le fait de " taillader le visage ". L'absence de constatation policière de trou dans le mur ne porte aucune conséquence sur la crédibilité de G______, les agents n'en étant pas informés au moment de la perquisition, réalisée avant l'audition de cette dernière et n'ayant ainsi pas porté leur examen des lieux sur cet élément. La suite du récit de G______ est tout aussi cohérent et crédible. Elle s'est en effet montrée constante et même précise s'agissant des menaces de mort proférées par l'appelant à son égard. Elle a fourni des détails spécifiques qu'on l'imagine difficilement avoir inventé, comme la référence à une peine de huit dans de prison qui le laisserait tranquille. Finalement, l'appelant a lui-même admis avoir dit à son épouse qu'il allait se jeter du balcon. Il n'est pas crédible lorsqu'il affirme qu'il aurait proféré cette menace pour rire, compte tenu des circonstances, ce d'autant qu'il n'a pas contesté se trouver dans un état de détresse psychologique au point de requérir la venue d'un médecin. Il ne fait aucun doute que G______ a été effrayée par chacun desdits actes de menaces évoqués ci-dessus, sa détresse telle que constatée sur place constituant un élément de preuve supplémentaire dans ce sens. Au regard de ce qui précède, la Cour a acquis la conviction que l'appelant s'est fait l'auteur des actes qui lui sont reprochés, lesquels sont constitutifs de menaces au sens de l'art. 180 al. 1 CP. Sa culpabilité de ce chef sera, partant, confirmée et l'appel rejeté. Faits qualifiés de violation du devoir d'assistance ou d'éducation (ch. 1.4 de l'AA) 3.5.1. L'art. 219 al. 1 CP réprime le comportement de celui qui aura violé son devoir d'assister ou d'élever une personne mineure dont il aura ainsi mis en danger le développement physique ou psychique, ou qui aura manqué à ce devoir. 3.5.2. Pour que cette disposition soit applicable, il faut d'abord que l'auteur ait eu envers une personne mineure un devoir d'assistance, c'est-à-dire de protection, ou un devoir d'éducation, soit d'assurer son développement, sur le plan corporel, spirituel et psychique. Sont notamment considérés comme des garants les parents naturels (ATF 125 IV 64 consid. 1a).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 Il faut encore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Enfin, la réalisation de l’infraction suppose l’existence d’un lien de causalité entre la violation du devoir d’assistance ou d’éducation et la mise en danger du développement physique ou psychique du mineur (M. DUPUIS / L. MOREILLON / C. PIGUET / S. BERGER / M. MAZOU / V. RODIGARI [éds], op. cit. , n. 3 ad art. 219 CP). 3.5.3.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3.5.4. Dans la mesure du possible, le père et la mère doivent faire tout ce qui est nécessaire afin de garantir l’épanouissement de l’enfant. Il s’ensuit qu’ils doivent s’efforcer de distinguer leur relation parentale conflictuelle, d’une part, et la relation parent-enfant d’autre part. Ils doivent s’efforcer de maintenir l’enfant en dehors du conflit parental (arrêt du Tribunal fédéral 5A_616/2020 du 23 novembre 2020 consid. 2.1.1). 3.5.5. Du point de vue subjectif, l’auteur peut avoir agi intentionnellement, auquel cas le dol éventuel suffit, ou par négligence (art. 219 al. 2 CP). 3.5.6. Il n'est pas contesté qu'en sa qualité de père des enfants E______ et D______, A______ revêtait une position de garant et avait un devoir d'éducation et d'assistance à leur égard, de même que G______, leur mère. Il n'est pas non plus contesté que les deux enfants présentent des retards de développement et des troubles du comportement, les multiples rapports et courriers en ce sens étant éloquents à cet égard. Le dossier dépeint un environnement social et familial difficile, sur fond d'un parcours migratoire, de différences culturelles, d'une situation financière et administrative précaire et d'un conflit conjugal très marqué ( cf . supra consid. 2.2). A ce sombre tableau s'ajoute le diabète de E______ qui nécessite une prise en charge et une implication significatives. Comme relevé au consid. 2.2, aucun élément ne permet de tenir pour établi que l'appelant se serait montré physiquement violent à l'égard de ses enfants, l'épisode de l'étranglement relaté par l'un des témoin et confirmé par G______ restant peu clair. Il ne peut clairement être déterminé de quelle manière les enfants ont assisté aux disputes de leurs parents, soit notamment à quelle fréquence, s'ils en ont été témoin de manière directe ou indirecte, etc. Il reste qu'assister à de violentes et récurrentes disputes et vivre dans un climat de conflit conjugal peuvent avoir un impact sur le développement d'un enfant. Cela étant, compte tenu de l'ensemble du contexte familial, les retards et troubles du comportement identifiés chez les deux enfants ne peuvent être avec certitude totalement mis en lien avec les difficultés conjugales et parentales de l'appelant et de G______. Il ne peut en effet être ignoré que l'isolement social des parents, qui étaient confrontés à la barrière de la langue et aux différences culturelles entre leur pays d'origine et leur pays d'accueil, la vie en foyer et le stress induit par la prise en charge difficile de la maladie de E______, peuvent aussi expliquer des retards dans le développement des deux enfants. A cela s'ajoute le possible trouble du spectre autistique de E______, qui pourrait également expliquer ses retards et son comportement. Les spécialistes, médecins et assistants sociaux ont eux-mêmes soulevé des interrogations quant à l'origine exacte des troubles des enfants, ce qui ressort en particulier du courrier du SPMi du 17 novembre 2020 et du rapport d'évaluation du 2 mars 2021. Il est notamment relevé dans le courrier du SPMi que le médecin responsable de l'Unité de Développement des HUG n'était pas en mesure de se prononcer formellement sur l'origine des difficultés de E______. De même, le rapport d'évaluation fait écho aux retards présents chez l'enfant en les inscrivant dans un trouble plus global, dont il envisage qu'il puisse découler d'un trouble du spectre autistique ainsi que des comportements qui peuvent être observés dans " les situations liées aux traumatismes et au stress ". Il existe ainsi un doute trop important s'agissant du lien de causalité direct entre le comportement de l'appelant et les troubles du développement des enfants E______ et D______, ce qui conduira à un acquittement de l'appelant du chef de violation du devoir d'assistance ou d'éducation pour ses deux enfants et son appel partiellement admis sur ce point.</w:t>
      </w:r>
    </w:p>
    <w:p>
      <w:r>
        <w:rPr>
          <w:b/>
        </w:rPr>
        <w:t>E. 4.1</w:t>
      </w:r>
    </w:p>
    <w:p>
      <w:r>
        <w:t>Les infractions de contrainte et de menaces sont passibles d'une peine privative de liberté de trois ans au plus ou d’une peine pécuniaire, tandis que les voies de fait sont réprimées par l'amende.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4.5</w:t>
      </w:r>
    </w:p>
    <w:p>
      <w:r>
        <w:t>Conformément à l'art. 22 al. 1 CP, le juge peut atténuer la peine si l'exécution d'un crime ou d'un délit n'est pas poursuivie jusqu'à son terme ou que le résultat nécessaire à la consommation de l'infraction ne se produit pas ou ne pouvait pas se produire.</w:t>
      </w:r>
    </w:p>
    <w:p>
      <w:r>
        <w:rPr>
          <w:b/>
        </w:rPr>
        <w:t>E. 4.6</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44 CP, si le juge suspend totalement ou partiellement l'exécution d'une peine, il impartit au condamné un délai d'épreuve de deux à cinq ans (al. 1). Il peut ordonner une assistance de probation et imposer des règles de conduite pour la durée du délai d'épreuve (al. 2).</w:t>
      </w:r>
    </w:p>
    <w:p>
      <w:r>
        <w:rPr>
          <w:b/>
        </w:rPr>
        <w:t>E. 4.7</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Tout comme les règles régissant la fixation de la peine, l'art. 51 CP doit être appliqué d'office, l'imputation étant obligatoire et inconditionnelle (arrêts du Tribunal fédéral 6B_1033/2018 du 27 décembre 2018 consid. 2.4 ; 6B_772/2020 du 8 décembre 2020 consid. 3.2). La question d'une indemnisation financière (art. 431 al. 2 CPP)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 arrêt du Tribunal fédéral 6B_671/2016 du 17 mai 2017 consid. 1.1). 4.8.1. La faute de l'appelant est importante. Il s'en est pris de manière parfaitement égoïste à l'intégrité physique et psychique ainsi qu'à la liberté d'action de son épouse, qui a vécu dans la peur de son mari, en cédant à une colère mal maîtrisée. Il n'a eu de cesse de nier les faits, sa collaboration pouvant être qualifiée de médiocre. Sa prise de conscience est inexistante en ce qui concerne les violences perpétrées à l'encontre son épouse, qu'il continue, encore au stade de l'appel, de blâmer pour leurs disputes. Il déclare persister dans son suivi psychologique mais ne l'étaye pas. Sa situation personnelle, certes marquée par un parcours migratoire et des facteurs culturels, ne justifie pas ses actes. L'absence d'antécédent est un facteur neutre pour la fixation de la peine. 4.8.2. L'importance de la faute de l'appelant conjuguée à son absence de toute prise de conscience commande le prononcé d'une peine supérieure à 180 unités pénales. Par conséquent, seule une peine privative de liberté entre en considération. Les infractions de menaces et contrainte sont abstraitement d'égale gravité. Cela étant, au vu de son résultat, l'infraction la plus grave est la menace réalisée à l'aide du couteau, infraction devant être sanctionnée, en elle-même, par une peine privative de liberté de quatre mois. Cette peine doit être augmentée de deux mois pour tenir compte de la menace de mort (peine hypothétique de deux mois et demi), d'un mois pour la menace de suicide (peine hypothétique de deux mois) de deux mois pour la contrainte (peine hypothétique de trois mois) et d'un mois pour la tentative de contrainte (peine hypothétique de deux mois). Le sursis est acquis à l'appelant et, au-delà de son absence de prise de conscience, cela ne pourrait conduire au prononcé d'une peine ferme dans les circonstances d'espèce, le MP n'ayant pas appelé du jugement du TP. 4.8.3. La détention avant jugement sera déduite de la peine prononcée à hauteur de 233 jours. Les mesures de substitution dont il a fait l'objet devront quant à elle être déduite à hauteur de 56 jours, correspondant à 10% desdites mesures (559 jours), les restrictions et obligations n'ayant porté qu'une atteinte mineure à sa liberté personnelle en comparaison avec la détention provisoire. C'est ainsi un total de 289 jours qui seront imputés sur la peine prononcée à l'encontre de l'appelant.</w:t>
      </w:r>
    </w:p>
    <w:p>
      <w:r>
        <w:rPr>
          <w:b/>
        </w:rPr>
        <w:t>E. 4.9</w:t>
      </w:r>
    </w:p>
    <w:p>
      <w:r>
        <w:t>L'amende de CHF 600.- prononcée par le TP, dont le montant apparaît adéquat en regard de la faute de l'appelant, sera confirmée, de même que la peine privative de liberté de substitution de six jours.</w:t>
      </w:r>
    </w:p>
    <w:p>
      <w:r>
        <w:rPr>
          <w:b/>
        </w:rPr>
        <w:t>E. 4.10</w:t>
      </w:r>
    </w:p>
    <w:p>
      <w:r>
        <w:t>Vu la peine et les imputations prononcées, l'appelant ne sera pas non plus indemnisé sur la base de l'art. 431 al. 2 CPP. Conclusions civiles de E______ et D______</w:t>
      </w:r>
    </w:p>
    <w:p>
      <w:r>
        <w:rPr>
          <w:b/>
        </w:rPr>
        <w:t>E. 5</w:t>
      </w:r>
    </w:p>
    <w:p>
      <w:r>
        <w:t>Compte tenu de l'issue de l'appel de A______ contestant sa culpabilité du chef de violation du devoir d'assistance ou d'éducation, les conclusions civiles en tort moral des appelants E______ et D______ seront rejetées. Confiscation et destruction</w:t>
      </w:r>
    </w:p>
    <w:p>
      <w:r>
        <w:rPr>
          <w:b/>
        </w:rPr>
        <w:t>E. 6</w:t>
      </w:r>
    </w:p>
    <w:p>
      <w:r>
        <w:t>La mesure de confiscation et de destruction du couteau figurant sous chiffre 1 de l'inventaire n° 1______ du 20 août 2019, qui n'a pas été remise en cause en appel, sera confirmée. Frais de procédure</w:t>
      </w:r>
    </w:p>
    <w:p>
      <w:r>
        <w:rPr>
          <w:b/>
        </w:rPr>
        <w:t>E. 7</w:t>
      </w:r>
    </w:p>
    <w:p>
      <w:r>
        <w:t>7.1. L'appelant, qui obtient partiellement gain de cause sur la question de sa culpabilité du chef de violation du devoir d'assistance ou d'éducation pour l'un de ses enfants, supportera les frais de la procédure d'appel à hauteur de 3/4, le solde étant laissé à la charge de l'Etat (art. 136 al. 2 let. b et art. 428 al. 1 CPP).</w:t>
      </w:r>
    </w:p>
    <w:p>
      <w:r>
        <w:rPr>
          <w:b/>
        </w:rPr>
        <w:t>E. 7.2</w:t>
      </w:r>
    </w:p>
    <w:p>
      <w:r>
        <w:t>L'appelant sera condamné à 60% des frais de la procédure préliminaire et de première instance compte tenu de son acquittement du chef de violation du devoir d'assistance ou d'éducation (art. 426 al. 1 CPP). Indemnisation de la défense d’office</w:t>
      </w:r>
    </w:p>
    <w:p>
      <w:r>
        <w:rPr>
          <w:b/>
        </w:rPr>
        <w:t>E. 8.1</w:t>
      </w:r>
    </w:p>
    <w:p>
      <w:r>
        <w:t>L'art. 429 al. 1 let. c CPP, applicable aux voies de recours par renvoi de l'art. 436 al. 1 CPP, prévoit notamment que, s'il est acquitté en partie, le prévenu a droit à une réparation du tort moral subi en raison d'une atteinte particulièrement grave à sa personnalité, notamment en cas de privation de liberté.</w:t>
      </w:r>
    </w:p>
    <w:p>
      <w:r>
        <w:rPr>
          <w:b/>
        </w:rPr>
        <w:t>E. 8.2</w:t>
      </w:r>
    </w:p>
    <w:p>
      <w:r>
        <w:t>L'appelant sollicite, dans le prolongement de ses conclusions en acquittement de la totalité des infractions, une indemnisation pour la détention qu'il aurait injustement subie durant 232 jours. Contrairement à ce qu'il avance, au regard notamment du verdict de culpabilité retenu à l'encontre de l'appelant pour les faits qualifiés de voies de fait, de menaces, de contrainte et de tentative de contrainte, des peines menaces des deux dernières infractions, ainsi que de la nécessité de le tenir éloigné de son épouse vu les risques de collusion, sa mise en détention provisoire était justifiée. Son appel sera ainsi rejeté sur cette question.</w:t>
      </w:r>
    </w:p>
    <w:p>
      <w:r>
        <w:rPr>
          <w:b/>
        </w:rPr>
        <w:t>E. 9</w:t>
      </w:r>
    </w:p>
    <w:p>
      <w:r>
        <w:t>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ou la déclaration d'appel, qui peut prendre la forme d'une simple lettre et n'a pas à être motivée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w:t>
      </w:r>
    </w:p>
    <w:p>
      <w:r>
        <w:rPr>
          <w:b/>
        </w:rPr>
        <w:t>E. 9.4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9.5</w:t>
      </w:r>
    </w:p>
    <w:p>
      <w:r>
        <w:t>L'état de frais déposé par M e C______ apparaît excessif compte tenu de la jurisprudence susmentionnée. Une heure et 30 minutes d'entretien client sera retenue en lieu et place des quatre heures réclamée, durée suffisante pour préparer les débats d'appel dans un dossier déjà bien connu pour avoir été plaidé huit mois auparavant. Compris dans le forfait, le temps consacré à la rédaction de l'annonce d'appel, de la déclaration d'appel et de conclusions en indemnisation, à l'analyse du jugement du TP ainsi qu'à la " production de pièces CPAR ", ne sera pas indemnisé. La durée effective de l'audience, soit trois heures et 40 minutes, sera ajoutée, de même que les frais d'interprète dûment justifiés. En conclusion, la rémunération sera arrêtée à CHF 2'953.55, correspondant à 11 heures et 10 minutes d'activité au tarif de CHF 200.-/heure (CHF 2'233.35) plus la majoration forfaitaire de 10% (CHF 223.35), la vacation à l'audience (CHF 100 .- ), l'équivalent de la TVA au taux de 7.7% en CHF 196.85 et CHF 200.- pour les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