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P/17038/2020 vom 2. März 2021</w:t>
      </w:r>
    </w:p>
    <w:p>
      <w:r>
        <w:t>GE Cour de justice, 2021-03-02, FR</w:t>
      </w:r>
    </w:p>
    <w:p>
      <w:r>
        <w:rPr>
          <w:b/>
        </w:rPr>
        <w:t xml:space="preserve">Quelle: </w:t>
      </w:r>
      <w:r>
        <w:t>https://mcp.opencaselaw.ch/entscheid/ge_gerichte_P_17038_2020</w:t>
      </w:r>
    </w:p>
    <w:p>
      <w:r>
        <w:t>FR: GE_GERICHTE P/17038/2020 du 2 mars 2021</w:t>
      </w:r>
    </w:p>
    <w:p>
      <w:r>
        <w:t>IT: GE_GERICHTE P/17038/2020 del 2 marzo 2021</w:t>
      </w:r>
    </w:p>
    <w:p>
      <w:pPr>
        <w:pStyle w:val="Heading2"/>
      </w:pPr>
      <w:r>
        <w:t>Regeste</w:t>
      </w:r>
    </w:p>
    <w:p>
      <w:r>
        <w:t>EXPULSION(DROIT PÉNAL);VIOLATION DE DOMICILE;VOL(DROIT PÉNAL);DOMMAGES À LA PROPRIÉTÉ(DROIT PÉNAL);TENTATIVE(DROIT PÉNAL);ENTRÉE ILLÉGALE;SÉJOUR ILLÉGAL | CP.66a; CP.186; CP.139; CP.144</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L'art. 66a al. 1 let. d CP prescrit que le juge expulse obligatoirement de Suisse pour une durée de cinq à quinze ans l'étranger qui est condamné pour vol (art. 139 CP) en lien avec une violation de domicile (art. 186 CP).</w:t>
      </w:r>
    </w:p>
    <w:p>
      <w:r>
        <w:rPr>
          <w:b/>
        </w:rPr>
        <w:t>E. 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L'art. 66a al. 2 CP est formulé comme une norme potestative (" Kannvorschrift "), en ce sens que le juge n'a pas l'obligation de renoncer à l'expulsion, mais peut le faire si les conditions fixées par cette disposition sont remplies. Ces conditions sont cumulatives.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(arrêts du Tribunal fédéral 6B_965/2018 du 15 novembre 2018 consid. 4.2; 6B_724/2018 du 30 octobre 2018 consid. 2.3.1; 6B_506/2017 du 14 février 2018 consid. 1.1 et les références citées).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(arrêts du Tribunal fédéral 6B_965/2018 du 15 novembre 2018 consid. 4.2; 6B_724/2018 du 30 octobre 2018 consid. 2.3.1).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(cf. art. 30 al. 1 let. b ou 50 al. 1 let. b et 84 al. 5 LEI, ainsi que l'art. 14 de la loi sur l'asile [LAsi]).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ce dernier,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3.3.1 et 3.3.2).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 du Tribunal fédéral 6B_661/2019 du 12 septembre 2019 consid. 3.3.1 et références citées).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 cahier spécial, Plaidoyer 5/2016, p. 101 ; G. FIOLKA / L. VETTERLI, Die Landesverweisung in Art. 66a ff StGB als strafrechtliche Sanktion , cahier spécial, Plaidoyer 5/2016, p. 87 ; AARP/185/2017 du 2 juin 2017 consid. 2.2). Pour se prévaloir d'un droit au respect de sa vie privée, l'étranger doit établir l'existence de liens sociaux et professionnels spécialement intenses avec la Suisse, notablement supérieurs à ceux qui résultent d'une intégration ordinaire. Une pesée des intérêts en présence, en considérant la durée du séjour en Suisse comme un élément parmi d'autres et en n'accordant qu'un faible poids aux années passées en Suisse dans l'illégalité, en prison ou au bénéfice d'une simple tolérance, doit être préférée à une approche schématique qui consisterait à présumer, à partir d'une certaine durée de séjour en Suisse, que l'étranger y est enraciné et dispose de ce fait d'un droit de présence dans notre pays (ATF 134 II 10 consid. 4.3 ; arrêts du Tribunal fédéral 6B_661/2019 du 12 septembre 2019 consid. 3.3.1 et 3.3.2 et référence citée). La jurisprudence rendue en droit des étrangers retient qu'il appartient à l'autorité d'examiner la proportionnalité de l'expulsion au moment où elle rend une telle décision. La question de savoir si le retour dans le pays d'origine peut être considéré comme une contrainte acceptable doit ainsi pleinement être prise en compte dans la pesée des intérêts à effectuer. Appliqués à l'expulsion pénale, ces principes supposent donc que l'autorité de jugement appelée à prononcer une expulsion doit examiner si la mesure s'avère disproportionnée. Elle ne doit pas simplement renvoyer la question à l'autorité d'exécution, compétente pour reporter l'expulsion lorsque le principe de non-refoulement ou d'autres règles impératives du droit international s'opposent à l'expulsion (ATF 145 IV 455 consid. 9.4).</w:t>
      </w:r>
    </w:p>
    <w:p>
      <w:r>
        <w:rPr>
          <w:b/>
        </w:rPr>
        <w:t>E. 2.3</w:t>
      </w:r>
    </w:p>
    <w:p>
      <w:r>
        <w:t>En l'espèce, les infractions pour lesquelles l'appelant est condamné fondent une expulsion obligatoire. Il existe, à l'évidence, un intérêt public important à son expulsion. En effet, l'appelant n'a aucun droit de résider en Suisse. Il a déjà été condamné à sept reprises et notamment à une peine privative de liberté d'une durée de deux ans et six mois pour dommage à la propriété, violation de domicile, vol par métier, contravention selon l'art. 19a de la loi sur les stupéfiants et séjour illégal. Ces condamnations ne l'ont pas empêché de récidiver à bref délai, voire immédiatement, après chaque sortie de prison. Il est ainsi resté jusqu'ici imperméable à l'effet dissuasif des précédentes peines fermes prononcées à son encontre. Le prononcé d'une expulsion serait dès lors, par sa nature, propre à l'empêcher de commettre de nouvelles infractions en Suisse. L'intérêt de l'appelant à ne pas être expulsé est quant à lui très relatif. Tout d'abord, la fermeture des frontières pour lutter contre la COVID-19 ne constitue qu'un obstacle temporaire qui ne justifie nullement de renoncer au prononcé une expulsion obligatoire. Rien ne permet en outre de penser que sa réintégration en Algérie, où il a passé l'essentiel de son enfance et adolescence, serait particulièrement difficile, dès lors qu'il maîtrise la langue, y a une maison et encore de la famille. Le danger de mort allégué n'est pas étayé par les éléments du dossier, sinon par une lettre émanant de sa propre soeur qui fait mention de menaces de mort sans autres détails. L'appelant n'en a fait état pour la première fois que devant le TP et n'a, à teneur du dossier, pas opté pour le dépôt d'une demande d'asile pour faire valoir ces menaces. Il ne sera dès lors pas considéré que celles-ci sont établies à satisfaction de droit. Enfin, il n'a développé aucun réseau social ni aucune activité professionnelle stable en Suisse, pays dans lequel il séjourne, sans statut légal, depuis plus de 10 ans. Il a commis sa première infraction à peine une année après son arrivée. De son propre aveu, il veut désormais vivre en Belgique où se trouve également une partie de sa famille et il ne fait pas état de projets professionnels en Suisse. En fin de compte, l'intérêt public à l'expulsion l'emporte sur celui du prévenu à demeurer en Suisse. Au vu de ce qui précède, il apparaît qu'aucune condition de la clause de rigueur n'est réalisée en l'espèce et que l'intérêt de la Suisse à prononcer l'expulsion dépasse nettement celui de l'appelant à y rester. Son expulsion pour une durée de cinq ans, soit le minimum légal, sera partant confirmée. Compte tenu de la présence de membres de sa famille en Belgique, il n'y a pas lieu d'étendre la mesure d'expulsion prononcée à l'ensemble de l'espace Schengen. L'appel est ainsi rejeté.</w:t>
      </w:r>
    </w:p>
    <w:p>
      <w:r>
        <w:rPr>
          <w:b/>
        </w:rPr>
        <w:t>E. 3</w:t>
      </w:r>
    </w:p>
    <w:p>
      <w:r>
        <w:t>L'appelant, qui succombe, supportera les frais de la procédure d'appel, qui comprennent un émolument de CHF 1'000.-. (art. 428 CPP).</w:t>
      </w:r>
    </w:p>
    <w:p>
      <w:r>
        <w:rPr>
          <w:b/>
        </w:rPr>
        <w:t>E. 4</w:t>
      </w:r>
    </w:p>
    <w:p>
      <w:r>
        <w:t>4.1.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4.2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L'établissement d'un bordereau de pièces ne donne en principe pas lieu à indemnisation hors forfait, la sélection des pièces à produire faisant partie des activités diverses que le forfait tend à couvrir et le travail de secrétariat relevant des frais généraux ( AARP/164/2016 du 14 avril 2016 consid. 6.3 ; AARP/102/2016 du 17 mars 2016 ; AARP/300/2015 du 16 juillet 2015 ; AARP/525/2015 du 14 décembre 2015 consid. 7.2.1 [chargé contenant des pièces déjà présentes au dossier]). Des exceptions demeurent possibles, charge à l'avocat de justifier l'ampleur d'opérations dont la couverture ne serait pas assurée par le forfait.</w:t>
      </w:r>
    </w:p>
    <w:p>
      <w:r>
        <w:rPr>
          <w:b/>
        </w:rPr>
        <w:t>E. 4.3</w:t>
      </w:r>
    </w:p>
    <w:p>
      <w:r>
        <w:t>En l'occurrence, l'état de frais présenté par M e C______ n'est pas conforme aux principes sus-rappelés. Le temps consacré à l'établissement du bordereau de pièces est inclus dans le forfait. Les 4 heures et 30 minutes pour la rédaction d'appel motivée seront ramenées à 2 heures et 30 minutes, jugées amplement suffisantes pour un mémoire d'appel de cinq pages, dont deux de développement. En conclusion, la rémunération sera arrêtée à CHF 642.- correspondant à 3 heures et 20 minutes d'activité au tarif de CHF 150.-/heure plus la majoration forfaitaire de 2% et l'équivalent de la TVA au taux de 7.7% en CHF 42.-.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