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P/17032/2015 vom 19. April 2021</w:t>
      </w:r>
    </w:p>
    <w:p>
      <w:r>
        <w:t>GE Cour de justice, 2021-04-19, FR</w:t>
      </w:r>
    </w:p>
    <w:p>
      <w:r>
        <w:rPr>
          <w:b/>
        </w:rPr>
        <w:t xml:space="preserve">Quelle: </w:t>
      </w:r>
      <w:r>
        <w:t>https://mcp.opencaselaw.ch/entscheid/ge_gerichte_P_17032_2015</w:t>
      </w:r>
    </w:p>
    <w:p>
      <w:r>
        <w:t>FR: GE_GERICHTE P/17032/2015 du 19 avril 2021</w:t>
      </w:r>
    </w:p>
    <w:p>
      <w:r>
        <w:t>IT: GE_GERICHTE P/17032/2015 del 19 aprile 2021</w:t>
      </w:r>
    </w:p>
    <w:p>
      <w:pPr>
        <w:pStyle w:val="Heading2"/>
      </w:pPr>
      <w:r>
        <w:t>Regeste</w:t>
      </w:r>
    </w:p>
    <w:p>
      <w:r>
        <w:t>IN DUBIO PRO REO | CP.303; CPP.10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En appel, l'appelant succombe intégralement. Les frais de la procédure seront toutefois laissés à la charge de l'Etat, dès lors que plaidant au bénéfice de l'assistance juridique, il en est exonéré (art. 136 al. 2 let. b CPP).</w:t>
      </w:r>
    </w:p>
    <w:p>
      <w:r>
        <w:rPr>
          <w:b/>
        </w:rPr>
        <w:t>E. 2.2.1</w:t>
      </w:r>
    </w:p>
    <w:p>
      <w:r>
        <w:t>Sur le plan objectif, une dénonciation n'est calomnieuse que si la personne mise en cause est innocente, en ce sens qu'elle n'a pas commis les faits qui lui sont faussement imputés, soit parce que ceux-ci ne se sont pas produits, soit parce qu'elle n'en est pas l'auteur. Il est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Lorsque la précédente procédure a été classée pour des motifs d'opportunité ou en vertu de l'art. 66 bis aCP (art. 54 CP) ou que des faits ou moyens de preuve nouveaux apparaissent, le juge appelé à statuer sur l'infraction de dénonciation calomnieuse, n'est pas empêché de statuer à nouveau sur la culpabilité de la personne dénoncée (ATF 136 IV 170 consid. 2.1 s. et les références ; arrêt du Tribunal fédéral 6B_1289/2018 du 20 février 2019 consid. 1.2.1 ; 6P.196/2006 du 4 décembre 2006 consid. 7.2).</w:t>
      </w:r>
    </w:p>
    <w:p>
      <w:r>
        <w:rPr>
          <w:b/>
        </w:rPr>
        <w:t>E. 2.2.2</w:t>
      </w:r>
    </w:p>
    <w:p>
      <w:r>
        <w:t>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La preuve de l'intention de l'auteur doit être soumise à des exigences élevées (M. NIGGLI / H. WIPRÄCHTIGER, Basler Kommentar Strafrecht II : Art. 111-392 StGB , 3 ème éd., Bâle 2013, n. 25 ad art. 303 CP). L'infraction ne peut pas être justifiée par le but de détourner sur un autre les soupçons qui pèsent sur soi (ATF 132 IV 20 consid. 4.4 p. 26). 2.3.1. En l'espèce, l'intimée a déposé plainte pénale à l'encontre de l'appelant, l'accusant de l'avoir enfermée à clé dans l'appartement, séquestrée pendant toute leur vie commune et contrainte à porter le voile, la menaçant de lui couper les veines si elle s'y opposait ou le dénonçait. A l'évidence, le but de cette démarche était qu'une procédure pénale soit ouverte à l'encontre de l'appelant et mène, cas échéant, à sa condamnation. La CPAR a toutefois constaté que les déclarations de l'intimée n'étaient pas intégralement étayées par des pièces du dossier et que certaines d'entre elles se voyaient en partie contredites par des témoignages, ce qui l'a conduite à acquitter l'appelant des faits reprochés, au motif qu'il subsistait un doute insurmontable s'agissant de la commission des infractions reprochées, qui devait lui profiter. Cet arrêt n'a pas été contesté par l'intimée et est donc devenu définitif. En l'absence de faits ou de moyens de preuves nouveaux, la CPAR est liée par ledit arrêt dans la mesure où il retient, en particulier, qu'aucune infraction n'est imputable à l'appelant. Il est ainsi établi que l'intimée a dénoncé pénalement l'appelant pour des infractions que celui-ci n'avait pas commises, de sorte que les éléments constitutifs objectifs de l'infraction de dénonciation calomnieuse sont remplis, ce que l'intimée ne conteste d'ailleurs pas. 2.3.2. Reste dès lors à examiner la réalisation de l'élément subjectif. Il est établi que l'intimée vivait mal la cohabitation avec son époux et on ne peut exclure que celle-ci se sentait restreinte dans sa liberté et isolée, ce qu'elle a vécu comme une séquestration. En effet, outre le déracinement de l'intimée causé par sa venue en Suisse, pays qu'elle ne connaissait pas, les époux semblaient vivre en « vase clos », n'ayant selon toute vraisemblance aucune fréquentation hors du cercle familial. Les témoignages recueillis dans le cadre de la procédure connexe, bien qu'ils doivent être appréciés avec retenue compte tenu du potentiel manque d'indépendance des personnes entendues à l'égard des parties, laissent d'ailleurs entendre que les sorties non accompagnées de l'intimée étaient à tout le moins exceptionnelles. L'appelant semblait en outre réticent à laisser son épouse seule lorsqu'il s'absentait pour une certaine durée, l'intimée ayant logé chez ses parents lors du voyage en Algérie au mois de février 2014, puis chez une amie à G______ [France] lorsqu'il est parti dans ce même pays au mois de mai 2014. Considérant ce qui précède, l'intimée disposait manifestement d'éléments objectifs pouvant lui laisser penser que sa plainte à l'encontre de son époux pouvait être fondée. Certes, elle a fait preuve d'exagération dans son récit, occasionnant certaines incohérences de son discours avec des éléments matériels du dossier, notamment en relation avec le port du voile et la reconnaissance de sa formation. On ne peut toutefois affirmer qu'elle a agi sciemment, à plus forte raison compte tenu de l'influence, dont il ne faut pas négliger l'impact, des spécialistes l'ayant prise en charge à son départ du foyer familial. En effet, le cadre et le soutien - certes bienveillants - qui lui ont été apportés par ces derniers n'ont pu que la conforter dans sa position, voire renforcer la perception subjective qu'elle se faisait des événements, étant précisé qu'elle se trouvait manifestement dans un état de fragilité patent du fait de sa présence en foyer et de son récent accouchement. Ainsi, le doute instigué sur les agissements de l'appelant dans la procédure connexe, du fait de l'absence de preuves et des incohérences dans le récit respectif des époux, doit également profiter à l'intimée dans la présente procédure, étant rappelé que la preuve d'une intention calomnieuse est soumise à des exigences élevées. Il se justifie dès lors, en vertu du principe in dubio pro reo , de confirmer l'acquittement prononcé en première instance. Le jugement entrepris sera donc confirmé sur ce point.</w:t>
      </w:r>
    </w:p>
    <w:p>
      <w:r>
        <w:rPr>
          <w:b/>
        </w:rPr>
        <w:t>E. 3</w:t>
      </w:r>
    </w:p>
    <w:p>
      <w:r>
        <w:t>3.1.1. Le Tribunal statue sur les conclusions civiles présentées lorsqu'il rend un verdict de culpabilité à l'encontre du prévenu (art. 126 al. 1 let. a CPP) et renvoie la partie plaignante à agir par la voie civile lorsqu'elle n'a pas chiffré ses conclusions de manière suffisamment précise ou ne les a pas suffisamment motivées (art. 126 al. 2 let. b CPP). 3.1.2. Selon l'art. 49 al. 1 CO,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12.1).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129 IV 22 consid. 7.2 p. 36 et les références ; arrêts du Tribunal fédéral 6B_267/2016 du 15 février 2017 consid. 8.1).</w:t>
      </w:r>
    </w:p>
    <w:p>
      <w:r>
        <w:rPr>
          <w:b/>
        </w:rPr>
        <w:t>E. 3.2</w:t>
      </w:r>
    </w:p>
    <w:p>
      <w:r>
        <w:t>En l'espèce, compte tenu de l'acquittement prononcé, qui repose au demeurant sur le constat initial que le comportement de l'appelant à l'égard de la prévenue durant la vie commune n'était pas exempt de tout reproche, il ne se justifie pas de faire droit aux conclusions civiles de celui-ci. A la lecture des attestations produites par l'intéressé, il appert d'ailleurs que ses symptômes et les traitement entrepris en conséquence trouvent initialement leur source dans son conflit conjugal avec l'intimée, qui s'est concrétisé par le départ de celle-ci du foyer conjugal. Il n'est concrètement pas possible, dans ces circonstances, d'établir un lien de causalité concret entre les souffrances subies, partant le soutien médical et psychologique nécessité, et la procédure en cause, qui n'est finalement qu'une suite du conflit préexistant. Par ailleurs, la valeur probante des attestations produites doit être relativisée, dès lors qu'elles se fondent essentiellement sur les dires de l'appelant et manquent parfois de cohérence avec les éléments du dossier, notamment le récit de l'intéressé. A titre illustratif, les attestations font notamment état d'une souffrance de l'appelant relative aux accusations infondées de maltraitance qui l'auraient privé de contact avec sa fille durant plusieurs années, alors que ses déclarations au SPMi témoignent de ce qu'il a refusé délibérément de créer des contacts avec son enfant. Compte tenu de ce qui précède, l'appelant échoue à établir l'existence d'un dommage et surtout d'un lien de causalité entre ses souffrances et le comportement imputable à l'intimée du fait de la présente procédure. Ses prétentions en tort moral et en réparation du dommage matériel seront donc rejetées.</w:t>
      </w:r>
    </w:p>
    <w:p>
      <w:r>
        <w:rPr>
          <w:b/>
        </w:rPr>
        <w:t>E. 4.1</w:t>
      </w:r>
    </w:p>
    <w:p>
      <w:r>
        <w:t>Selon l'art. 428 al. 1 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 4.2.1. Compte tenu de l'acquittement prononcé en première instance, la répartition des frais de la procédure préliminaire et de première instance telle que fixée dans le jugement entrepris sera confirmée.</w:t>
      </w:r>
    </w:p>
    <w:p>
      <w:r>
        <w:rPr>
          <w:b/>
        </w:rPr>
        <w:t>E. 5</w:t>
      </w:r>
    </w:p>
    <w:p>
      <w:r>
        <w:t>2. En l'occurrence, la prévenue n'a pas subi de détention avant jugement ni une procédure particulièrement longue ou publiquement exposée. La souffrance qu'elle ressent, si elle n'est pas niée, résulte manifestement avant tout de l'échec de sa relation avec son ex-époux. Elle n'établit cependant pas l'existence d'une atteinte particulièrement grave à sa personnalité en relation avec les faits pour lesquels elle a été acquittée, autre que l'atteinte liée à toute procédure pénale, laquelle est suffisamment réparée par le verdict d'acquittement prononcé. Elle sera partant déboutée de ses conclusions en indemnisation.</w:t>
      </w:r>
    </w:p>
    <w:p>
      <w:r>
        <w:rPr>
          <w:b/>
        </w:rPr>
        <w:t>E. 6</w:t>
      </w:r>
    </w:p>
    <w:p>
      <w:r>
        <w:t>6.1.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 er juin 2015 ; AARP/184/2016 du 28 avril 2016 consid. 5.3.1, AARP/158/2016 du 22 avril 2016 consid. 6.3 et AARP/525/2015 du 14 décembre 2015 consid. 7.2.2). Des exceptions demeurent possibles, charge à l'avocat de justifier l'ampleur d'opérations dont la couverture ne serait pas assurée par le forfait. 6.3.1. En l'occurrence, concernant l'état de frais de M e B______, seul l'entretien d'une heure du 13 novembre 2020, antérieur au mémoire d'appel, sera pris en compte, un second entretien d'une durée équivalente ne se justifiant pas avant la rédaction de la réplique, a fortiori dans le cadre d'une procédure d'appel portant essentiellement sur des questions juridiques. Les neuf heures consacrées à la rédaction du mémoire d'appel apparaissent excessives compte tenu de la nature et de la complexité relative de la cause, dans un dossier censé être maÎtrisé pour avoir été plaidé en première instance, étant précisé que ledit mémoire comprend en grande partie des copier/coller de pièces figurant d'ores et déjà à la procédure, de sorte que l'analyse juridique tient en réalité sur moins de six pages. Il convient donc de ramener l'activité y relative à cinq heures. L'activité dédiée à la rédaction de la réplique sera par ailleurs ramenée à une heure et 30 minutes, cette écriture n'apportant en substance aucun élément nouveau ou pertinent. Enfin, le temps consacré à l'analyse du jugement motivé et de la réplique, activités couvertes par le forfait, sera par ailleurs retranché. En conclusion, la rémunération sera arrêtée à CHF 1'938.60, correspondant à sept heures et 30 minutes d'activité au tarif de CHF 200.-/heure plus la majoration forfaitaire de 20% et l'équivalent de la TVA au taux de 7.7% en CHF 138.60. 6.3.2. S'agissant de l'état de frais produit par M e D______, dès lors que l'appelante a expressément renoncé à dupliquer, l'activité y relative ne sera pas prise en considération. La rémunération sera donc arrêtée à CHF 1'507.80, correspondant à cinq heures et 50 minutes d'activité au tarif de CHF 200.-/heure (CHF 1'166.65), plus la majoration forfaitaire de 20% (CHF 233.35) et l'équivalent de la TVA au taux de 7.7% (CHF 107.80).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