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P/17009/2014 vom 27. April 2017</w:t>
      </w:r>
    </w:p>
    <w:p>
      <w:r>
        <w:t>GE Cour de justice, 2017-04-27, FR</w:t>
      </w:r>
    </w:p>
    <w:p>
      <w:r>
        <w:rPr>
          <w:b/>
        </w:rPr>
        <w:t xml:space="preserve">Quelle: </w:t>
      </w:r>
      <w:r>
        <w:t>https://mcp.opencaselaw.ch/entscheid/ge_gerichte_P_17009_2014</w:t>
      </w:r>
    </w:p>
    <w:p>
      <w:r>
        <w:t>FR: GE_GERICHTE P/17009/2014 du 27 avril 2017</w:t>
      </w:r>
    </w:p>
    <w:p>
      <w:r>
        <w:t>IT: GE_GERICHTE P/17009/2014 del 27 aprile 2017</w:t>
      </w:r>
    </w:p>
    <w:p>
      <w:pPr>
        <w:pStyle w:val="Heading2"/>
      </w:pPr>
      <w:r>
        <w:t>Regeste</w:t>
      </w:r>
    </w:p>
    <w:p>
      <w:r>
        <w:t>DÉNONCIATION CALOMNIEUSE ; EXPERTISE | CP.303 CP.13 CP.20 CP.47 CP.34 CP.42.1</w:t>
      </w:r>
    </w:p>
    <w:p>
      <w:pPr>
        <w:pStyle w:val="Heading2"/>
      </w:pPr>
      <w:r>
        <w:t>Erwägungen</w:t>
      </w:r>
    </w:p>
    <w:p>
      <w:r>
        <w:rPr>
          <w:b/>
        </w:rPr>
        <w:t>E. 1</w:t>
      </w:r>
    </w:p>
    <w:p>
      <w:r>
        <w:t>L'appel et l'appel joint sont recevables pour avoir été interjetés et motivés selon la forme et dans les délais prescrits (art. 398, 399, 400 al. 3 let. b et 401 CPP). La Chambre limite son examen aux violations décrites dans l'acte d'appel et d'appel joint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2.4</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 AARP/72/2017 consid. 2.3, à la suite de la décision de la Cour des plaintes du Tribunal pénal fédéral BB.2016.39 consid. 7.2).</w:t>
      </w:r>
    </w:p>
    <w:p>
      <w:r>
        <w:rPr>
          <w:b/>
        </w:rPr>
        <w:t>E. 3</w:t>
      </w:r>
    </w:p>
    <w:p>
      <w:r>
        <w:t>.1. 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consid. 2.1 = JdT 2011 IV 102, et les références citées). La personne dénoncée doit au moins être déterminable comme auteur des faits qui se caractérisent comme une infraction (ATF 132 IV 40 consid. 4.2 ; ATF 85 IV 83 ).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(ATF 136 IV 170 consid. 2.1, et les références citées). Cependant, cette décision, lorsqu'elle existe, n'empêche pas celui qui doit répondre d'une dénonciation calomnieuse d'expliquer pourquoi, selon lui, le dénoncé avait adopté un comportement fautif et d'exciper de sa bonne foi (ATF 136 IV 170 consid. 2.2 p. 178 et la référence citée). Sur le plan subjectif, l'auteur doit savoir que la personne qu'il dénonce est innocente. Il s'agit d'une connaissance au sens strict. Le dol éventuel ne suffit pas (ATF 136 IV 170 consid. 2.1 p. 176 et les réf. ; ATF 76 IV 244 ). Celui qui admet que sa dénonciation est peut-être fausse ne sait pas innocente la personne dénoncée (ATF 136 IV 170 consid. 2.1 p. 176 ; U. CASSANI , Commentaire du droit pénal suisse, partie spéciale , vol. 9, Berne 1996, n. 21 ad art. 303). Par ailleurs, l'auteur doit agir en vue de faire ouvrir une poursuite pénale contre la personne qu'il accuse injustement. Le dol éventuel suffit quant à cette volonté de faire ouvrir une poursuite pénale (ATF 85 IV 83 ; 80 IV 120 ). La preuve de l'intention de l'auteur doit être soumise à des exigences élevées (M. NIGGLI / H. WIPRÄCHTIGER, Basler Kommentar Strafrecht II : Art. 111-392 StGB , 3 e éd., Bâle 2013, n. 25 ad art. 303 CP).</w:t>
      </w:r>
    </w:p>
    <w:p>
      <w:r>
        <w:rPr>
          <w:b/>
        </w:rPr>
        <w:t>E. 3.2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w:t>
      </w:r>
    </w:p>
    <w:p>
      <w:r>
        <w:rPr>
          <w:b/>
        </w:rPr>
        <w:t>E. 3.3</w:t>
      </w:r>
    </w:p>
    <w:p>
      <w:r>
        <w:t>En l'espèce, dans la nuit du 2 au 3 août 2014, ayant remarqé la présence d'un véhicule stationné sur une place handicapés à quelques mètres de leur poste d'affectation, D______ et C______ se sont assurés de l'absence de carte donnant le droit à son détenteur de s'y parquer ce, non sans avoir pris la peine d'éclairer l'habitacle pour voir si elle ne se trouvait pas par exemple dans ses portières, avant de verbaliser et de faire enlever ledit véhicule. L'absence de carte a été confirmée par E______, dépanneur, qui ne l'a vue ni au moment de l'enlèvement, ni lorsque l'appelant principal est venu récupérer sa voiture au garage. Ce dernier a au contraire expliqué le manège de l'appelant principal consistant à rapidement entrer dans l'habitacle de la voiture, à y placer ladite carte sur le tableau de bord puis à en ressortir avant de photographier ce document à travers le pare-brise. La légitimité de la démarche des deux policiers et partant l'absence d'infraction d'abus d'autorité a été confirmée par une ordonnance de classement définitive. Reste à déterminer si l'appelant principal savait les policiers innocents au moment de déposer plainte à leur encontre. L'appelant principal a fini par admettre avoir effectivement placé ladite carte sur le tableau de bord alors qu'il s'était rendu dans le garage de dépannage, puis l'avoir prise en photo, geste qui démontre sa totale mauvaise foi. Il savait donc l'intervention de la police légitime et a ce nonobstant déposé plainte à son encontre avec pour intention claire de faire ouvrir une poursuite pénale, ce qui s'est d'ailleurs produit. C'est à tort que l'appelant cherche à justifier sa plainte en imputant aux deux gendarmes une action chicanière dans un esprit de vengeance. Il a reconnu qu'il n'avait vu qu'une fois l'un des deux policiers, et qu'il n'avait jamais eu affaire à l'autre, ce qui exclut l'hypothèse d'un contrôle chicanier. Au demeurant, l'objet de cette procédure n'est pas son infraction initiale, consommée, mais bien son comportement ultérieur, consistant, après avoir constaté chez le dépanneur que sa carte n'était pas visible, à ce nonobstant déposer plainte pénale à l'encontre des agents, après avoir visité la nuit de l'enlèvement de son véhicule pas moins de trois postes de police pour déplorer un abus d'autorité de leur part. S'agissant enfin de l'erreur sur les faits, à supposer que l'appelant ait effectivement été convaincu que sa carte d'invalidité se soit trouvée derrière le pare-brise au moment du contrôle, il n'en demeure pas moins que lorsqu'il a lui-même placé ladite carte sur le tableau de bord au garage F______, il a dû réaliser que sa représentation des faits était erronée, d'autant plus qu'il a admis qu'il arrivait fréquemment que la carte glisse du tableau de bord. Au moment de déposer plainte pénale, et encore moins ultérieurement lors de sa confirmation devant l'IGS, l'appelant, se considérant " malgré tout " un ayant droit, ne pouvait donc pas prétendre agir sous l'influence d'une appréciation erronée des faits. Il savait alors pertinemment que sa carte n'avait pas été visible, ce qu'il a d'ailleurs reconnu devant le MP. Au vu de ce qui précède, l'appelant s'est rendu coupable de dénonciation calomnieuse, au sens de l'art. 303 al. 1 CP de sorte que le premier jugement sera confirmé sur ce point.</w:t>
      </w:r>
    </w:p>
    <w:p>
      <w:r>
        <w:rPr>
          <w:b/>
        </w:rPr>
        <w:t>E. 4.1</w:t>
      </w:r>
    </w:p>
    <w:p>
      <w:r>
        <w:t>L'art. 20 CP, qui prescrit au juge d'ordonner une expertise s'il existe une raison sérieuse de douter de la responsabilité de l'auteur, correspond à l'art. 13 al. 1 aCP (cf. Message concernant la modification des dispositions générales du code pénal et du code pénal militaire, FF 1999 p. 1813). La jurisprudence relative à cette dernière disposition conserve donc sa valeur. 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En l'absence d'indices contraires, la pleine responsabilité pénale de l'auteur est présumée (arrêt 6B_540/2008 du 5 février 2009 consid. 2.3 et les références citées).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116 IV 273 consid. 4a p. 274 ; 102 IV 74 consid. 1b p. 75 s.).</w:t>
      </w:r>
    </w:p>
    <w:p>
      <w:r>
        <w:rPr>
          <w:b/>
        </w:rPr>
        <w:t>E. 4.2</w:t>
      </w:r>
    </w:p>
    <w:p>
      <w:r>
        <w:t>En l'espèce, le comportement de l'appelant principal tout au long de la procédure, notamment ses nombreux et prolixes écrits, conforme au trouble de la personnalité borderline avec des traits de personnalité dyssociale et paranoïaque dont la symptomatologie était marquée, diagnostiqué en 2012, ainsi que son parcours psychiatrique comprenant de très nombreuses hospitalisations, donnent de telles raisons de douter de sa responsabilité. L'expertise psychiatrique des Drs G______ et H______ du 11 octobre 2012 précède de moins de deux ans les faits à juger dans la présente procédure. Le trouble de la personnalité dont souffre l'appelant demeure avec la même symptomatique et les mêmes comportements qu'y décrits, tout comme le traitement psychiatrique en place désormais depuis plus de 40 ans. Il est donc possible de s'appuyer sur ladite expertise, faute de modification significative dans la situation de l'appelant, pour conclure que sa responsabilité était moyennement diminuée au moment d'agir en août 2014.</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5.2</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Pour fixer le montant du jour-amende, il convient de partir du revenu que l'auteur réalise en moyenne chaque jour quelle qu'en soit la source. Car ce qui est déterminant, ce sont les ressources économiques réelles de l'auteur (ATF 116 IV 4 consid.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De la somme de ces revenus, le juge arrivera au revenu moyen net en déduisant, en principe, les contributions sociales (AVS, AI, APG, assurance chômage), les impôts courants, les primes d'assurance maladie et accident obligatoires, ainsi que les frais professionnels indispensables (arrêt du Tribunal fédéral 6B_217/2007 du 14 avril 2008 consid. 2.1.1). Ne sont toutefois pas déductibles les charges courantes, telles que le loyer (ATF 134 IV 60 consid. 6.4 p. 71). La portée du minimum vital dans la fixation de la quotité du jour-amende demeure peu claire. On peut cependant conclure des travaux préparatoires que ce minimum vital ne correspond pas à celui du droit des poursuites et que la part insaisissable des revenus ne constitue pas une limite absolue. La référence au minimum vital fournit plutôt au tribunal un motif justifiant de s'écarter du principe du revenu net et lui permet d'arrêter le montant du jour-amende à un niveau sensiblement inférieur. Le minimum vital a ainsi, comme le critère du niveau de vie, une fonction corrective (arrêt du Tribunal fédéral 6B_541/2007 du 13 mai 2008 consid. 6.4.5 et 6.4.7). Le montant du jour-amende ne peut être inférieur à CHF 10.- (ATF 135 IV 180 consid. 1.4.2 p. 185).</w:t>
      </w:r>
    </w:p>
    <w:p>
      <w:r>
        <w:rPr>
          <w:b/>
        </w:rPr>
        <w:t>E. 5.3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5.4.1. En l'espèce, la faute de l'appelant principal est consistante. En effet, alors qu'il savait que les gendarmes ayant fait enlever sa voiture étaient innocents, il a persisté dans sa plainte, allant jusqu'à dire, lorsqu'il a admis que sa carte n'était pas visible, le 3 mai 2016, soit près de deux ans après les faits, que les différences dans ses déclarations n'étaient " pas graves ". Il a agi sous le coup de la colère, dans un esprit de vengeance et sans se soucier des conséquences de cette plainte sur la carrière des deux policiers, représentants de l'ordre public, hurlant à qui voulait l'entendre avoir été la victime d'une injustice, alors qu'il savait, au plus tard au moment d'aller rechercher son véhicule, que tel n'était en fait pas le cas. Cette faute doit ainsi être adéquatement sanctionnée. Sa collaboration a été mauvaise, même s'il a fini par admettre avoir lui-même placé sa carte derrière le pare-brise. L'appelant principal ne paraît en effet toujours pas avoir pris conscience de sa faute et du caractère répréhensible de ses actes, puisqu'il a persisté, à chaque instant de la procédure, à dire avoir été dans son bon droit. Ses antécédents sont mauvais. Aucune circonstance atténuante n'est réalisée ni au demeurant plaidée (art. 48 CP). Il se justifierait ainsi de prononcer une peine pécuniaire de 120 jours-amende, prenant adéquatement en compte l'ensemble de ces éléments. La responsabilité moyennement restreinte de l'appelant retenue par la Chambre de céans commande néanmoins de la réduire à 90 jours-amende. 5.4.2. Le montant de CHF 10.- l'unité, tel que retenu par le premier juge et correspondant au minimum jurisprudentiel, n'est par contre pas conforme à la situation personnelle de l'appelant principal. Ce dernier bénéficie d'une rente de l'assurance invalidité, ainsi que de prestations complémentaires mensuelles s'élevant ensemble à CHF 3'253.-, somme à laquelle s'ajoute la prise en charge, du moins partielle, de son assurance maladie, de même que de ses frais médicaux. En tenant compte, d'une part, des déductions mensuelles légales, soit des cotisations AVS/AI/APG (CHF 41.75), les impôts courants étant négligeables, ainsi que, d'autre part, du minimum vital, un montant de CHF 30.- paraît adéquat. 5.4.3. Dans la mesure où, comme déjà relevé, l'appelant principal n'a pas pris conscience du caractère répréhensible de ses actes, nonobstant ses deux précédentes condamnations, pour lesquelles il a été sanctionné par des peines pécuniaires assorties du sursis qui, à l'évidence, n'ont pas servi leur but de prévention spéciale, un pronostic défavorable doit être posé. Les conditions du sursis ne sont plus réalisées, étant relevé que le trouble dont il souffre et a conscience aux dires des experts psychiatres, n'empêche pas "(…) qu'il est de sa responsabilité de faire ce qu'il peut pour améliorer son état ". L'appelant principal a les moyens de réfléchir, et cas échéant d'obtenir de l'aide nécessaires auprès de sa thérapeute, avant d'initier et d'amener des procédures jusqu'à leur terme en se sachant en tort. La conclusion principale du Ministère public étant ainsi admise, il n'y a pas de place pour une amende en sus.</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rPr>
          <w:b/>
        </w:rPr>
        <w:t>E. 6.2</w:t>
      </w:r>
    </w:p>
    <w:p>
      <w:r>
        <w:t>Bien que le nombre de jours-amende ait été modifié en faveur de l'appelant, pour une raison qu'il n'a au demeurant pas plaidée, le verdict de culpabilité du Tribunal de police a été confirmé dans son principe, la peine prononcée sans sursis et le montant du jour-amende augmenté. Dans de telles circonstances, il n'y a pas lieu de revoir les frais fixés par le tribunal de première instance (art. 428 al. 3 CPP).</w:t>
      </w:r>
    </w:p>
    <w:p>
      <w:r>
        <w:rPr>
          <w:b/>
        </w:rPr>
        <w:t>E. 6.3</w:t>
      </w:r>
    </w:p>
    <w:p>
      <w:r>
        <w:t>En appel, le prévenu succombe en grande partie, seul le nombre de jours-amende ayant été réduit, encore une fois pour un motif qu'il n'a pas plaidé. L'appel joint ayant été admis, l'appelant principal supportera les 2/3 des frais de la procédure d'appel, qui comprennent dans leur totalité un émolument de CHF 2'000.-, le solde étant laissé à la charge de l'Etat (art. 428 CPP et art. 14 al. 1 let. e du Règlement fixant le tarif des frais en matière pénale ;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 24 janvier 2014 consid. 4.1.3 et BB.2013.127 du 4 décembre 2013 consid. 4.2)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l'opposition à l'ordonnance pénale ( AARP/161/2014 du 28 mars 2014), l'annonce d'appel ( AARP/184/2016 du 28 avril 2016 consid. 5.2.3.2 et 5.3.1 ; AARP/149/2016 du 20 avril 2016 consid. 5.3 et 5.4 ; AARP/146/2013 du 4 avril 2013),</w:t>
      </w:r>
    </w:p>
    <w:p>
      <w:r>
        <w:rPr>
          <w:b/>
        </w:rPr>
        <w:t>E. 7.3</w:t>
      </w:r>
    </w:p>
    <w:p>
      <w:r>
        <w:t>En application de ces principes, il convient de retrancher de l'état de frais déposé par M e B______, défenseur d'office de A______, 30 minutes du poste " étude du jugement motivé du Tribunal de police ", qui ne comporte que 13 pages, état de frais inclus et est dénué de complexité, 10 minutes pour la déclaration d'appel, comprise dans le forfait pour activités diverses, 1h pour la préparation de l'audience d'appel dans un petit dossier censé être bien connu pour avoir déjà été plaidé en première instance et 15 minutes des 90 d'estimation pour ladite audience, d'une durée effective de 1h15, plus forfait de 20%. Enfin, les frais de déplacement, non détaillés, seront réduits à CHF 50.- pour la vacation à l'audience d'appel, aller/retour.</w:t>
      </w:r>
    </w:p>
    <w:p>
      <w:r>
        <w:rPr>
          <w:b/>
        </w:rPr>
        <w:t>E. 7.4</w:t>
      </w:r>
    </w:p>
    <w:p>
      <w:r>
        <w:t>En conclusion, l'indemnité sera arrêtée à CHF 810.- correspondant à 2h55 d'activité au tarif de CHF 200.-/heure (CHF 583.35), la majoration forfaitaire de 20% (CHF 116.65) plus une rémunération forfaitaire pour vacation (CHF 50.-) et l'équivalent de la TVA au taux de 8% en CHF 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