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P/16974/2015 vom 2. April 2020</w:t>
      </w:r>
    </w:p>
    <w:p>
      <w:r>
        <w:t>GE Cour de justice, 2020-04-02, FR</w:t>
      </w:r>
    </w:p>
    <w:p>
      <w:r>
        <w:rPr>
          <w:b/>
        </w:rPr>
        <w:t xml:space="preserve">Quelle: </w:t>
      </w:r>
      <w:r>
        <w:t>https://mcp.opencaselaw.ch/entscheid/ge_gerichte_P_16974_2015</w:t>
      </w:r>
    </w:p>
    <w:p>
      <w:r>
        <w:t>FR: GE_GERICHTE P/16974/2015 du 2 avril 2020</w:t>
      </w:r>
    </w:p>
    <w:p>
      <w:r>
        <w:t>IT: GE_GERICHTE P/16974/2015 del 2 aprile 2020</w:t>
      </w:r>
    </w:p>
    <w:p>
      <w:pPr>
        <w:pStyle w:val="Heading2"/>
      </w:pPr>
      <w:r>
        <w:t>Regeste</w:t>
      </w:r>
    </w:p>
    <w:p>
      <w:r>
        <w:t>MESURE(DROIT PÉNAL) | CP.157</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2.1</w:t>
      </w:r>
    </w:p>
    <w:p>
      <w:r>
        <w:t>Selon l'art. 426 CPP,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5.2.2. En l'espèce, c'est à bon escient que le premier juge a retenu que le comportement de l'intimé avait entrainé l'ouverture de la présente procédure. Il est en effet établi qu'il n'a pas satisfait à l'obligation de paiement du salaire en faveur de l'appelant, ce qui a conduit au dépôt de la plainte pénale de ce dernier. Les frais de première instance, en CHF 2'565.-, y compris l'émolument de jugement de CHF 300.- et l'émolument complémentaire de CHF 600.-, resteront ainsi à la charge de l'intimé, condamné en appel pour usure.</w:t>
      </w:r>
    </w:p>
    <w:p>
      <w:r>
        <w:rPr>
          <w:b/>
        </w:rPr>
        <w:t>E. 2.2</w:t>
      </w:r>
    </w:p>
    <w:p>
      <w:r>
        <w:t>Conformément à l'art. 157 ch. 1 CP, se rend coupable d'usure celui qui exploite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L'infraction d'usure suppose d'abord que la victime se soit trouvée dans l'une des situations de faiblesse, énumérées de manière exhaustive à l'art. 157 CP (arrêt du Tribunal fédéral 6B_395/2007 du 14 novembre 2007 consid. 4.1). En ce qui concerne l'inexpérience, il doit s'agir d'une inexpérience générale se rapportant au monde des affaires et non pas d'une inexpérience relative au contrat en cause (ATF 130 IV 106 consid. 7.3). L'auteur doit ensuite exploiter la situation de faiblesse dans laquelle se trouve la victime, soit qu'il ait utilisé consciemment cette situation, en vue de l'obtention d'un avantage pécuniaire (arrêt du Tribunal fédéral 6B_395/2007 du 14 novembre 2007 consid. 4.1). Cet avantage patrimonial doit en outre avoir été fourni ou promis en échange d'une prestation. L'usure ne peut ainsi intervenir que dans le cadre d'un contrat onéreux (ATF 130 IV 106 consid. 7.2 ; arrêt du Tribunal fédéral 6B_395/2007 du 14 novembre 2007 consid. 4.1). Il est encore nécessaire d'avoir une disproportion évidente entre l'avantage et la prestation échangée. Pour déterminer s'il y a une telle disproportion, il y a lieu de procéder à une évaluation objective, en recherchant la valeur patrimoniale effective de la prestation, calculée en tenant compte de toutes les circonstances (arrêt du Tribunal fédéral 6B_395/2007 du 14 novembre 2007 consid. 4.1). Le rapport entre la prestation et la contreprestation se mesure dans le cas normal selon le prix ou la rémunération usuels pour des choses ou des services de même espèce (arrêt du Tribunal fédéral 6B_387/2008 du 15 août 2008 consid. 2.2). Selon la jurisprudence, la disproportion doit excéder sensiblement les limites de ce qui apparaît usuel et normal en regard de toutes les circonstances. Un écart de 25% est en général considéré comme constitutif d'une disproportion (ATF 92 IV 132 consid. 1). Elle doit paraître frappante et s'imposer comme telle (arrêt du Tribunal fédéral 6S_6/2007 du 19 février 2007 consid. 3.1.1). Enfin, cette disproportion doit être en lien de causalité avec la situation de faiblesse de la victime. Sur le plan subjectif, l'infraction est intentionnelle, mais le dol éventuel suffit. Il faut donc que l'auteur connaisse, au moins sous cette forme, la situation de faiblesse dans laquelle se trouve l'autre partie ainsi que la disproportion entre les prestations, de même qu'il doit avoir conscience que la situation de faiblesse motive l'autre partie à accepter la disproportion évidente entre les prestations (ATF 106 IV 106 consid. 7.2).</w:t>
      </w:r>
    </w:p>
    <w:p>
      <w:r>
        <w:rPr>
          <w:b/>
        </w:rPr>
        <w:t>E. 2.3</w:t>
      </w:r>
    </w:p>
    <w:p>
      <w:r>
        <w:t>Il convient tout d'abord d'examiner si, en décembre 2014, l'appelant se trouvait dans une situation de faiblesse et plus particulièrement d'inexpérience. Originaire du Soudan, il ressort du dossier qu'il est arrivé en Suisse en 2010 à l'âge de 23 ans. Il y a déposé une demande d'asile qui a été rejetée. Toutefois, son renvoi ayant été considéré comme non raisonnablement exigible, il a été admis provisoirement sur le territoire et mis au bénéfice d'un permis F en août 2014. A son arrivée en Suisse, l'appelant ne parlait pas français. N'ayant pas suivi d'études dans son pays d'origine, il ne possède aucun diplôme. Son niveau d'éducation est donc particulièrement bas et ses options professionnelles fortement restreintes, étant relevé qu'il affirme ne pas bien savoir lire ni écrire. Il a vécu dans plusieurs foyers d'accueil pour migrants gérés par l'Hospice général. A l'époque des faits, sa situation pouvait ainsi être qualifiée de très précaire, tant d'un point de vue financier que social. S'il est vrai qu'il lui a été possible d'effectuer une formation dans le domaine du nettoyage et de bénéficier de mesures d'insertion sous la forme de missions ponctuelles auprès de l'Hospice général et de K______, cela ne suffit pas pour considérer qu'il était au fait des usages commerciaux en vigueur en Suisse, et encore moins qu'il connaissait ses droits en tant qu'employé. C'est d'autant plus vrai que dans ces cadres bien particuliers, il n'a pas été confronté à la négociation de ses contrats de travail et était vraisemblablement accompagné par des conseillers de l'Hospice général totalement désintéressés en lesquels il pouvait avoir toute confiance. Dans ces circonstances, il n'est pas surprenant qu'il n'ait pas ressenti le besoin de se renseigner plus en détails sur les pratiques suisses en matière de droit du travail. Le fait que l'appelant ait su que son travail devait donner lieu au paiement en sa faveur d'un salaire ne suffit pas à exclure l'inexpérience. Il a en effet toujours affirmé être au courant de cela, sans toutefois savoir comment cela se passait exactement en Suisse. Le témoignage de Q______ démontre que l'appelant ne savait pas combien il devait être payé et qu'il pensait par ailleurs qu'il était normal de recevoir son salaire « de main en main », une telle manière de procéder ne constituant pas du travail au noir selon lui. Ce n'est que face à l'insistance de Q______ qu'il a réclamé son salaire auprès de l'intimé, et non de sa propre initiative. Au regard des éléments qui précèdent, l'inexpérience de l'appelant au moment des faits est manifeste. Cet état de faiblesse a conduit l'appelant à accepter de travailler gratuitement pour l'intimé durant un certain temps. Il importe peu à cet égard qu'il se soit engagé pour trois mois ou cinq jours de travail gratuit, cette dernière hypothèse représentant déjà un avantage pécuniaire en faveur de l'intimé. Il n'est pas non plus relevant que l'appelant ait su que son travail devait être récompensé par un salaire. Ce qui est déterminant c'est qu'il ne s'imaginait être payé qu'à compter de la conclusion d'un contrat de travail et a ainsi offert sa force de travail à l'intimé à titre gracieux en échange de la promesse d'être formellement engagé et de percevoir un salaire par la suite. Il ne fait pas de doute qu'il existait une disproportion entre les heures de travail réalisées par l'appelant et l'absence totale de rémunération. L'intimé connaissait en outre parfaitement la situation administrative et personnelle de l'appelant puisqu'il a été en possession de son permis F ainsi que de son curriculum vitae. Avec de nombreux employés au bénéfice d'un tel titre de séjour, il savait que le statut de ses bénéficiaires était particulier dans la mesure où ils venaient de régions du monde particulièrement défavorisées et étaient passés par des procédures de demande d'asile. Il ne pouvait par ailleurs pas ignorer que l'appelant n'était que très peu éduqué, vu l'absence dans son cursus d'un quelconque diplôme. Il ne fait aucun doute qu'il a exploité cette inexpérience afin de bénéficier gratuitement de la force de travail de l'appelant, étant au demeurant relevé qu'il ressort du dossier qu'il pourrait avoir agi de la même manière avec d'autres employés, lesquels étaient également dans leur grande majorité au bénéfice de permis F, et qu'il est à tout le moins établi qu'il a régulièrement tardé à formaliser les engagements et à annoncer les prises d'emploi à l'autorité compétente, ce qui contribue à démontrer une certaine forme d'exploitation de leur précarité. Partant, force est de constater que l'intimé s'est rendu coupable d'usure à l'égard de l'appelant, dont l'appel doit être admis sur ce point.</w:t>
      </w:r>
    </w:p>
    <w:p>
      <w:r>
        <w:rPr>
          <w:b/>
        </w:rPr>
        <w:t>E. 3</w:t>
      </w:r>
    </w:p>
    <w:p>
      <w:r>
        <w:t>3.1.1. À l'aune de l'art. 2 CP, la réforme du droit des sanctions, entrée en vigueur le 1 er janvier 2018, est en règle générale moins favorable à la personne condamnée (M. DUPUIS / L. MOREILLON / C. PIGUET / S. BERGER / M. MAZOU / V. RODIGARI [éds], Code pénal - Petit commentaire , 2 e éd., Bâle 2017, Rem. prél. ad art. 34 à 41, n. 6). En effet, la peine pécuniaire est désormais de trois jours au moins et jusqu'à 180 jours (art. 34 al. 1 CP). Si le sursis n'est guère remanié pour ce qui concerne la peine privative de liberté, il ne s'applique plus, à titre de sursis partiel, pour ce qui concerne la peine pécuniaire. 3.1.2. En l'espèce, les faits reprochés à l'intimé ont été commis avant l'entrée en vigueur du nouveau droit des sanctions. L'ancien droit, lui paraissant plus favorable, sera dès lors appliqué.</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 129 IV 6 consid. 6.1 ; arrêt du Tribunal fédéral 6B_660/2013 du 19 novembre 2013 consid. 2.2).</w:t>
      </w:r>
    </w:p>
    <w:p>
      <w:r>
        <w:rPr>
          <w:b/>
        </w:rPr>
        <w:t>E. 3.3</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w:t>
      </w:r>
    </w:p>
    <w:p>
      <w:r>
        <w:rPr>
          <w:b/>
        </w:rPr>
        <w:t>E. 3.4</w:t>
      </w:r>
    </w:p>
    <w:p>
      <w:r>
        <w:t>Selon l'art. 34 aCP, sauf disposition contraire, la peine pécuniaire ne peut excéder 360 jours-amende. Le juge fixe leur nombre en fonction de la culpabilité de l'auteur (al. 1).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3.5</w:t>
      </w:r>
    </w:p>
    <w:p>
      <w:r>
        <w:t>Le juge suspend en règle générale l'exécution d'une peine pécuniaire ou d'une peine privative de liberté de deux ans au plus lorsqu'une peine ferme ne paraît pas nécessaire pour détourner l'auteur d'autres crimes ou délits (cf. art. 42 al. 1 aCP).</w:t>
      </w:r>
    </w:p>
    <w:p>
      <w:r>
        <w:rPr>
          <w:b/>
        </w:rPr>
        <w:t>E. 3.6</w:t>
      </w:r>
    </w:p>
    <w:p>
      <w:r>
        <w:t>En l'espèce, la faute de l'intimé est moyenne. Il s'en est pris au patrimoine de l'appelant en exploitant sciemment sa faiblesse par appât du gain, profitant de son inexpérience inhérente à sa situation administrative. Il n'a pas hésité à le faire travailler sans autorisation et sans bourse délier. N'ayant eu de cesse de nier les faits durant toute la procédure, sa collaboration ne saurait être qualifiée autrement que de mauvaise et sa prise de conscience de nulle. La situation personnelle de l'intimé, sans particularité, ne permet pas d'expliquer ses actes. Il y a concours d'infractions entre la violation grave des règles de la circulation routière (art. 90 al. 2 LCR), pour laquelle l'intimé a été condamné à 40 jours-amende à CHF 30.- l'unité en première instance sans que cela n'ait été remis en cause en appel, et l'infraction d'usure (art. 157 al. 1 CP). Les actes abstraitement les plus graves au sens de l'art. 49 al. 1 CP sont ceux qualifiés de crime à cette loi, à savoir l'usure. Aussi, la Cour juge appropriée en l'espèce une peine pécuniaire de 60 jours-amende en relation avec cette infraction. A cette peine s'ajouteront 30 jours-amende pour tenir compte de la violation grave des règles de la circulation routière. C'est ainsi une peine d'ensemble de 90 jours-amende qui sera prononcée. Le montant du jour-amende sera fixé CHF 30.- afin de tenir compte de la situation financière de l'intimé. Au vu de l'absence d'antécédents spécifiques de l'intimé en lien avec les infractions retenues et de pronostic défavorable, cette peine pécuniaire sera assortie du sursis. Un délai d'épreuve de trois ans apparaît suffisant pour dissuader l'intimé de commettre de nouvelles infractions, ce d'autant que les deux sociétés dont il a été le gérant sont actuellement en liquidation et qu'il ne semble plus être actif dans le domaine du nettoyage. Pour les mêmes raisons, la renonciation à révoquer le sursis prononcé en sa faveur le 13 juin 2014 sera confirmée.</w:t>
      </w:r>
    </w:p>
    <w:p>
      <w:r>
        <w:rPr>
          <w:b/>
        </w:rPr>
        <w:t>E. 4</w:t>
      </w:r>
    </w:p>
    <w:p>
      <w:r>
        <w:t>4.1.1. À teneur de l'art. 122 CPP, en qualité de partie plaignante, le lésé peut faire valoir des conclusions civiles déduites de l'infraction par adhésion à la procédure pénale (al. 1). L'action civile devient pendante dès que le lésé a fait valoir des conclusions civiles en vertu de l'art. 119 al. 2 let. b (al. 3). Si la partie plaignante retire son action civile avant la clôture des débats de première instance, elle peut à nouveau faire valoir ses conclusions civiles par la voie civile (al. 4). 4.1.2. Selon l'art. 123 CPP, dans la mesure du possible, la partie plaignante chiffre ses conclusions civiles dans sa déclaration en vertu de l'art. 119 et les motive par écrit ; elle cite les moyens de preuve qu'elle entend invoquer (al. 1). Le calcul et la motivation des conclusions civiles doivent être présentés au plus tard durant les plaidoiries (al. 2). Les plaidoiries mentionnées à l'art. 123 al. 2 CPP sont celles présentées aux débats de première instance, compte tenu de la règle énoncée à l'art. 122 al. 4 CPP (L. MOREILLON / A. PAREIN-REYMOND, Petit commentaire CPP , 2ème éd., 2016, n. 7 ad art 123 CPP ; arrêt du Tribunal fédéral 6B_193/2014 du 21 juillet 2014 consid. 2.3 = SJ 2015 I p. 293 ; AARP/42/2018 du 6 février 2018 consid. 4.1). 4.1.3. Constituent des prétentions civiles celles qui sont fondées sur le droit civil et doivent en conséquence être déduites ordinairement devant les tribunaux civils. Il s'agit principalement des prétentions en réparation du dommage et en tort moral au sens des art. 41 ss de la loi fédérale du 30 mars 1911, complétant le Code civil suisse (CO ; RS 220) (arrêt du Tribunal fédéral 1B_312/2011 du 21 juin 2011 consid. 2). Rien n'empêche cependant la partie plaignante de demander d'autres conclusions fondées sur le CC (droit des personnes, droits réels) ou le CO, pourvu qu'elles présentent un lien de connexité suffisant avec l'infraction poursuivie (L. MOREILLON / A. PAREIN-REYMOND, op cit. , 2 ème éd., 2016, n. 4 ad art 122 CPP). 4.1.4. En vertu de l'art. 126 al. 1 let. a CPP, le tribunal statue sur les prétentions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 L'art. 126 al. 2 let. b CPP constitue le pendant des exigences imposées par la loi à la partie plaignante relativement au calcul et à la motivation des conclusions civiles, formulées à l'art. 123 CPP (A. KUHN / Y. JEANNERET / C. DEPEURSINGE [éds], Commentaire romand : Code de procédure pénale suisse , 2ème éd., 2019, n. 21 ad art. 126 CPP). Cette disposition ne doit toutefois pas être interprétée comme une volonté du législateur d'alléger le fardeau de la preuve incombant à une partie au seul motif qu'elle procède devant une autorité pénale (arrêt du Tribunal fédéral 6B_586/2011 du 7 février 2012 consid. 7.4). 4.1.4. La décision de renvoyer la partie plaignante à agir au civil fait partie du dispositif du jugement rendu par le Tribunal à l'issue des débats (art. 126 al. 2 let. b à d CPP et art. 81 al. 4 let. b CPP). A ce titre, il convient de retenir - contrairement à ce que préconise le Message - que cette décision est susceptible d'un appel aux mêmes conditions que le jugement statuant sur les prétentions civiles (A. KUHN / Y. JEANNERET / C. DEPEURSINGE [éds], op. cit. , n. 18 ad art. 126 CPP ; N. SCHMID / D. JOSITSCH, Schweizerische Strafprozessordnung, Praxis-kommentar , 3ème éd., 2017, n. 11 ad art. 126 CPP ; contra : Message relatif à l'unification de la procédure pénale du 21 décembre 2005, p. 1298).</w:t>
      </w:r>
    </w:p>
    <w:p>
      <w:r>
        <w:rPr>
          <w:b/>
        </w:rPr>
        <w:t>E. 4.2</w:t>
      </w:r>
    </w:p>
    <w:p>
      <w:r>
        <w:t>En l'espèce, comme relevé supra , si les éléments du dossier démontrent que l'appelant a bien travaillé à tous le moins cinq jours pour l'intimé, ils ne permettent ni d'établir que cela a bien été le cas précisément du 19 au 23 décembre 2014, ni de déterminer le nombre d'heures effectivement réalisées. Partant, la Cour admet dans leur principe les conclusions civiles déposées mais renvoie l'appelant à agir au civil pour le surplus.</w:t>
      </w:r>
    </w:p>
    <w:p>
      <w:r>
        <w:rPr>
          <w:b/>
        </w:rPr>
        <w:t>E. 5</w:t>
      </w:r>
    </w:p>
    <w:p>
      <w:r>
        <w:t>5.1.1.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6B_472/2018 du 22 août 2018 consid. 1.2 ; 6B_620/2016 du 17 mai 2017 consid. 2.1.2). La partie plaignante mise au bénéfice de l'assistance judiciaire est toutefois dispensée des frais de procédure (art. 136 al. 2 let. b CPP). 5.1.2. L'appelant ayant obtenu gain de cause pour l'essentiel, les frais de la procédure d'appel, comprenant un émolument de CHF 3'000.-, seront mis à la charge de l'intimé à raison des 2 / 3 et le solde sera laissé à la charge de l'Etat.</w:t>
      </w:r>
    </w:p>
    <w:p>
      <w:r>
        <w:rPr>
          <w:b/>
        </w:rPr>
        <w:t>E. 6</w:t>
      </w:r>
    </w:p>
    <w:p>
      <w:r>
        <w:t>Par identité de motifs, l'intimé ne saurait prétendre à une quelconque indemnité fondée sur l'art. 429 CPP (art. 430 al. 1 let. a CPP).</w:t>
      </w:r>
    </w:p>
    <w:p>
      <w:r>
        <w:rPr>
          <w:b/>
        </w:rPr>
        <w:t>E. 7</w:t>
      </w:r>
    </w:p>
    <w:p>
      <w:r>
        <w:t>7.1. Selon l'art. 135 al. 1 CPP, le défenseur d'office ou le conseil juridique gratuit (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w:t>
      </w:r>
    </w:p>
    <w:p>
      <w:r>
        <w:rPr>
          <w:b/>
        </w:rPr>
        <w:t>E. 7.2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7.3</w:t>
      </w:r>
    </w:p>
    <w:p>
      <w:r>
        <w:t>Le travail consistant en des recherches juridiques, sauf questions particulièrement pointues, n'est pas indemnisé, l'Etat ne devant pas assumer la charge financière de la formation de l'avocat stagiaire, laquelle incombe à son maître de stage, ou la formation continue de l'avocat breveté ( AARP/147/2016 du 17 mars 2016 consid. 7.3 ; AARP/302/2013 du 14 juin 2013 ; AARP/267/2013 du 7 juin 2013).</w:t>
      </w:r>
    </w:p>
    <w:p>
      <w:r>
        <w:rPr>
          <w:b/>
        </w:rPr>
        <w:t>E. 7.4</w:t>
      </w:r>
    </w:p>
    <w:p>
      <w:r>
        <w:t>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55.- / CHF 75.- / CHF 100.- pour les stagiaires / collaborateurs / chefs d'étude, dite rémunération étant allouée d'office par la juridiction d'appel pour les débats devant elle.</w:t>
      </w:r>
    </w:p>
    <w:p>
      <w:r>
        <w:rPr>
          <w:b/>
        </w:rPr>
        <w:t>E. 7.5</w:t>
      </w:r>
    </w:p>
    <w:p>
      <w:r>
        <w:t>En l'occurrence, le conseil de l'appelant produit un état de frais comptabilisant, pour la seule procédure d'appel, dix heures d'activité de chef d'étude, de collaborateur et de stagiaire. Il convient d'en retrancher les 20 minutes consacrées à la rédaction de la déclaration d'appel, prestation incluse dans le forfait pour activités diverses. Les 20 minutes consacrées par le collaborateur à l'étude du dossier et les 2 heures d'analyse en vue de l'audience du stagiaire ne seront pas indemnisées, les 6 heures et 50 minutes consacrées à ces mêmes postes par le chef d'étude apparaissant largement suffisantes à ce stade de la procédure, étant relevé par ailleurs que la formation des avocats stagiaires n'est pas indemnisée. L'audience d'appel sera indemnisée conformément à sa durée effective, soit quatre heures et dix minutes. Les frais de déplacement à ladite audience seront pris en charge à hauteur de CHF 100.-. En conclusion, l'indemnité sera arrêtée à CHF 2'832.50 correspondant à 11 heures et 30 minutes d'activité au tarif de CHF 200.-/heure (CHF 2'300.-) plus la majoration forfaitaire de 10% (CHF 230.-) ainsi que le déplacement à l'audience d'appel (CHF 100.-) et l'équivalent de la TVA au taux de 7.7% (CHF 202.50).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