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P/16958/2012 vom 9. Dezember 2016</w:t>
      </w:r>
    </w:p>
    <w:p>
      <w:r>
        <w:t>GE Cour de justice, 2016-12-09, FR</w:t>
      </w:r>
    </w:p>
    <w:p>
      <w:r>
        <w:rPr>
          <w:b/>
        </w:rPr>
        <w:t xml:space="preserve">Quelle: </w:t>
      </w:r>
      <w:r>
        <w:t>https://mcp.opencaselaw.ch/entscheid/ge_gerichte_P_16958_2012</w:t>
      </w:r>
    </w:p>
    <w:p>
      <w:r>
        <w:t>FR: GE_GERICHTE P/16958/2012 du 9 décembre 2016</w:t>
      </w:r>
    </w:p>
    <w:p>
      <w:r>
        <w:t>IT: GE_GERICHTE P/16958/2012 del 9 dicembre 2016</w:t>
      </w:r>
    </w:p>
    <w:p>
      <w:pPr>
        <w:pStyle w:val="Heading2"/>
      </w:pPr>
      <w:r>
        <w:t>Regeste</w:t>
      </w:r>
    </w:p>
    <w:p>
      <w:r>
        <w:t>PRÉSOMPTION D'INNOCENCE ; IN DUBIO PRO REO ; LÉSION CORPORELLE SIMPLE ; AGGRAVATION DE LA PEINE ; INFRACTIONS CONTRE LA VIE ET L'INTÉGRITÉ CORPORELLE ; INFRACTIONS CONTRE LA LIBERTÉ ; VIOLATION DE DOMICILE ; RECEL ; INFRACTIONS CONTRE LE PATRIMOINE ; FIXATION DE LA PEINE ; CONCOURS D'INFRACTIONS ; INTENTION ; PARTIE CIVILE ; TORT MORAL ; INDEMNITÉ(EN GÉNÉRAL) ; ASSISTANCE JUDICIAIRE ; HONORAIRES ; DÉFENSE D'OFFICE | CP123.2; CP186; CP160; CEDH6.2; CP12.2; CP47; CP49; CPP126.1.a; CPP135; CPP428; CO47</w:t>
      </w:r>
    </w:p>
    <w:p>
      <w:pPr>
        <w:pStyle w:val="Heading2"/>
      </w:pPr>
      <w:r>
        <w:t>Erwägungen</w:t>
      </w:r>
    </w:p>
    <w:p>
      <w:r>
        <w:rPr>
          <w:b/>
        </w:rPr>
        <w:t>E. 1.1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rPr>
          <w:b/>
        </w:rPr>
        <w:t>E. 1.2</w:t>
      </w:r>
    </w:p>
    <w:p>
      <w:r>
        <w:t>La Chambre limite son examen aux violations décrites dans l'acte d'appel (art. 404 al. 1 CPP), sauf en cas de décisions illégales ou inéquitables (art. 404 al. 2 CPP). L'art. 404 al. 2 CPP doit être appliqué avec retenue, l'autorité d'appel n'ayant pas à rechercher si des erreurs dans l'application du droit ont été commises par le juge précédent ou à examiner des questions juridiques qui ne se posent pas à elle (arrêts du Tribunal fédéral 6B_1145/2013 du 3 juin 2014 consid. 2.1 et 6B_426/2013 du 18 décembre 2013 consid. 1). La maxime d'accusation (art. 9 al. 1 CPP) n'empêche pas l'autorité de jugement de s'écarter de l'état de fait ou de la qualification juridique retenus dans la décision de renvoi ou l'acte d'accusation, à condition toutefois que les droits de la défense soient respectés (ATF 126 I 19 consid. 2a et c p. 21 ss). Si l'accusé est condamné pour une autre infraction que celle visée dans l'acte d'accusation (art. 325 al. 1 let. g, 344 et 350 al. 1 CPP), il faut examiner s'il pouvait, eu égard à l'ensemble des circonstances d'espèce, s'attendre à cette nouvelle qualification juridique des faits, auquel cas il n'y a pas violation de ses droits de défense (ATF 126 I 19 consid. 2d/bb p. 24). Ces principes s'appliquent à la juridiction d'appel (art. 379 et 405 al. 1 CPP ; arrêt du Tribunal fédéral 6B_878/2014 du 21 avril 2015 consid. 2.2 ; L. MOREILLON / A. PAREIN-REYMOND, Petit commentaire CPP , Bâle 2016, n. 6 ad art. 350).</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En vertu de l'art. 10 al. 2 CPP, le juge du fait dispose d'un large pouvoir dans l'appréciation des preuves (ATF 120 Ia 31 consid. 4b p. 40) et donne aux moyens de preuve produits tout au long de la procédure la valeur qu'il estime devoir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Celle-ci peut se forger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2.2.1. En vertu de l'art. 122 CP, celui qui, intentionnellement, aura blessé une personne de façon à mettre sa vie en danger (al. 1), ou aura mutilé le corps d'une personne, un de ses membres ou un de ses organes importants (…), ou encore aura fait subir à une personne toute autre atteinte grave à l'intégrité corporelle ou à la santé physique ou mentale (al. 3), sera puni d'une peine privative de liberté de dix ans au plus ou d'une peine pécuniaire de 180 jours-amende au moins. La mise en danger suppose une blessure créant un danger immédiat de mort. Celle-ci doit être telle qu'à un certain moment, une issue fatale ait pu survenir, qu'elle a créé un état dans lequel la possibilité de la mort s'impose de manière telle qu'elle est vraisemblable, sérieuse et proche (ATF 131 IV 1 consid. 1.1 p. 3 ; ATF 125 IV 242 consid. 2b/dd p. 247 ; ATF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Cette infraction implique un résultat, soit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selon laquelle l'auteur doit avoir " blessé une personne de façon à mettre sa vie en danger ". Le danger n'intervient que pour qualifier la blessure de grave ; il ne peut pas suppléer la blessure. Une atteinte légère ne suffit en revanche pas, même lorsqu'elle est durable et qu'il ne peut y être remédié (ATF 129 IV 1 consid. 3.2 p. 3 ; arrêts du Tribunal fédéral 6B_405/2012 du 7 janvier 2013 consid. 3.2.1 et 6B_26/2011 du 20 juin 2011 consid. 2.4.1). L’infraction à l’art. 122 CP est intentionnelle, le dol éventuel étant toutefois suffisant. Ainsi, l’auteur doit avoir voulu causer des lésions corporelles graves ou, à tout le moins, avoir accepté cette éventualité (ATF 135 IV 152 consid. 2.3.2). 2.2.2.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123 ch. 1 CP). L'art. 123 ch. 1 CP réprime les lésions du corps humain ou de la santé qui ne peuvent être qualifiées de graves au sens de l'art. 122 CP et qui sont en lien de causalité naturelle et adéquate avec le comportement de l'auteur. Cette disposition protège l'intégrité corporelle et la santé tant physique que psychique. Les lésions corporelles sont une infraction de résultat qui implique une atteinte importante aux biens juridiques ainsi protégés (ATF 135 IV 152 consid. 2.1.1 ; ATF 134 IV 189 consid. 1.1). L'atteinte psychique doit toutefois revêtir une certaine importance pour justifier la qualification de lésions corporelles.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p. 192).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 p. 19 et 20). 2.3.1. Aux termes de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 s ; arrêt du Tribunal fédéral 6B_548/2011 du 14 mai 2012 consid. 1.1).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137 IV 1 consid. 4.2.3 p. 4 ; ATF 133 IV 222 consid. 5.3 p. 225 ss ; arrêts du Tribunal fédéral 6B_590/2014 du 12 mars 2015 consid. 2 et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arrêts du Tribunal fédéral 6S.127/2007 du 6 juillet 2007 consid. 2.3 et 6B_519/2007 du 29 janvier 2008 consid. 3). 2.3.2.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La tentative suppose que l'auteur réalise tous les éléments subjectifs de l'infraction et qu'il manifeste sa décision de la commettre, mais sans en réaliser tous les éléments objectifs (ATF 120 IV 199 consid. 3e p. 206). Selon une jurisprudence bien établie, l'équivalence des deux formes de dol – direct et éventuel – s'applique également à la tentative (ATF 122 IV 246 consid. 3a p. 248 ; arrêts du Tribunal fédéral 6B_612/2013 du 8 novembre 2013 consid. 1.3 et 6B_741/2010 du 9 novembre 2010 consid. 2.1.1). La tentative par dol éventuel de causer des lésions corporelles graves prime les lésions corporelles simples réalisées (arrêt du Tribunal fédéral 6B_954/2010 du 10 mars 2011 consid. 3.4 ; M. NIGGLI / M. HEER / H. WIPRÄCHTIGER, Schweizerische Strafprozessordnung - Schweizerische Jugendstrafprozessordnung, Basler Kommentar StPO/JStPO , Bâle 2011, n. 28 ad art. 122). 2.4.1. A titre liminaire, on regrettera que le confinement du lieu n'ait pas été observé, que l'analyse de toutes les traces de sang n'ait pas été effectuée et que le Ministère public n'ait pas jugé bon de faire procéder aux recherches des profils ADN sur tous les prélèvements effectués. Cela étant, les appelants principal et joint soulignent à raison la crédibilité des déclarations de la partie plaignante. Pleinement consciente et lucide, elle a d'emblée désigné son agresseur en la personne de l'intimé qu'elle a également identifié visuellement, peu importe les divergences relatives à son prénom. Confrontée à réitérées reprises à l'intimé pendant l'instruction, devant le Tribunal correctionnel et encore devant la CPAR, la victime a maintenu ses accusations. A sa mise en cause constante s'ajoutent la modération, la précision et la cohérence de son récit, corroboré par des éléments de preuve matériels et verbaux, tels la lame du couteau encore plantée dans son épaule, ses blessures dont celles d'auto-défense étayées par certificat médical, l'alcoolisation de son agresseur corroborée scientifiquement, la présence de sang dans le couloir constatée par témoin N______ et les traces de ce liquide relevées par la police sur le même trajet que celui décrit. Les trois témoins qui ont secouru la victime l'ont aussi entendu désigner C______, voire un résident du Foyer à tout le moins. Les quelques contradictions relatives à l'heure des faits et à l'évocation d'un coup de poing préalable ne sauraient modifier l'appréciation qui précède, sans compter que l'absence de lésion consécutive audit coup peut aussi expliquer qu'il ait oublié d'en parler dans un premier temps. Le stress consécutif aux blessures subies peut aussi être à l'origine de cette omission. Aucun élément ne permet, par ailleurs, de donner corps aux allégations de l'intimé en lien avec un trafic de stupéfiants, la participation de la partie plaignante à la présente procédure – risquée pour une personne qui verserait dans un tel trafic – ainsi que les propos du témoin N______ plaidant plutôt dans un sens contraire. La mise en évidence de l'ADN de l'intimé sur une des traces de sang autour de sa porte de chambre constitue un indice de ce qu'une altercation l'impliquant a eu lieu à cet endroit. Il en va également de sa blessure à la main droite, qui, au vu de son emplacement, ne saurait être due à un menottage aux poignets, pas plus qu'à un improbable accident culinaire dans la mesure où l'intimé est droitier. On ne voit pas d'ailleurs que du sang ait pu être projeté sur le mur devant la porte de sa chambre dans ces circonstances, ce qui ne ressort d'ailleurs pas du rapport de police. Les explications de l'intimé étant inconstantes et dépourvues de crédibilité, il sied uniquement de se fonder sur les conclusions médicales indiquant que la blessure correspondait à celles occasionnées par un objet tranchant et pouvait entrer chronologiquement en relation avec les faits. Un autre élément probant tient à la présence de l'intimé dans la chambre située à proximité immédiate du lieu de l'agression. Le tableau lésionnel de la partie plaignante est, par ailleurs, compatible avec une agression par une personne de taille supérieure, tel l'intimé. Les caractéristiques personnelles de l'intimé constituent un élément supplémentaire. Ses pathologies ainsi que sa propension à la violence, à tout le moins sous l'influence de l'alcool, sont établies sur la base des observations des médecin et expert, et corroborées par les témoignages, les rapports d'interpellation connexes et son antécédent spécifique. Vu son alcoolisation et ses angoisses au moment des faits, un comportement hétéroagressif ne parait pas surprenant, ce d'autant que le geste de la partie plaignante par lequel elle a repoussé ses sollicitations pourrait constituer l'élément déclencheur, à la lumière des observations du Dr Q______. Au regard de ce qui précède, la CPAR ne voit aucune raison de s'éloigner de la mise en cause crédible et vraisemblable de la partie plaignante face aux démentis sujets à caution de l'intimé. En tout état, il n'est pas concevable que sa blessure spécifique sur la paume de la main, sa présence sur place et les traces de sang sur le lieu de l'agression soient dues à une autre cause que les faits dénoncés. L'ensemble de ces éléments forme un faisceau d'indices suffisamment convergents pour pallier l'absence de certaines preuves matérielles (profils ADN et manche du couteau) et ainsi effacer tout doute raisonnable, de sorte que l'implication de l'intimé est avérée. 2.4.2. Au vu des parties du corps visées qui ne se situaient à proximité d'aucun organe ou vaisseau sanguin majeurs, le pronostic vital de l'appelant principal n'a, même abstraitement, jamais été mis en danger. Il convient de déterminer si l'intimé avait la volonté de causer des lésions plus importantes, à tout le moins, par dol éventuel, auquel cas la tentative de lésions corporelles graves primerait, en application de la jurisprudence sur celle de lésions corporelles simples qualifiées. Le dossier ne comporte aucun élément probant concernant l'aspect volitif, nulle question n'ayant été posée à l'appelant principal concernant les zones visées par l'intimé, et ses hypothétiques manœuvres d'évitement, voire les propos que leur auteur aurait simultanément tenus. La seule violence du coup à l'épaule ne saurait suffire à elle seule pour retenir une intention de causer des lésions graves. Sont aussi à prendre en considération la brièveté de l'agression, l'intensité mesurée de l'autre coup porté sur le crâne et l'absence d'élément propre à ce qui pourrait tenir lieu d'acharnement, l'intimé ayant au contraire laissé fuir sa victime. En outre, aucune circonstance ne permet de retenir que l'acte de l'intimé emportait un degré de probabilité suffisamment élevé pour causer des lésions au caractère de gravité. En application du principe in dubio pro reo , il n'est donc pas possible de retenir, au-delà de tout doute raisonnable, que l'intimé avait l'intention, ou à tout le moins s'est accommodé du risque, de blesser l'appelant principal plus gravement que tel a été le cas, de sorte que seules les lésions corporelles simples qualifiées (art. 123 ch. 2 CP) entrent en ligne de compte, ce qui ne pose pas de problème sous l'angle du droit d'être entendu dans la mesure où la requalification juridique, prévisible, est plus favorable à l'intimé. Ce verdict se substituera à l'acquittement prononcé par les premiers juges. Le jugement entrepris sera modifié en ce sens et les appels principal et joint partiellement admis compte tenu du changement de qualification juridique.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A teneur de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3.3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w:t>
      </w:r>
    </w:p>
    <w:p>
      <w:r>
        <w:rPr>
          <w:b/>
        </w:rPr>
        <w:t>E. 3.4</w:t>
      </w:r>
    </w:p>
    <w:p>
      <w:r>
        <w:t>La faute de l'intimé est de gravité moyenne. Il a porté atteinte, notamment au moyen d'une arme, à l'intégrité corporelle d'une personne qu'il ne connaissait guère, le motif de son acte demeurant obscure. Il semble néanmoins plausible que l'intimé ait réagi de manière excessive au sentiment de frustration consécutif au comportement de l'appelant principal. Sa culpabilité du chef de violation de domicile et recel démontre qu'il fait fi des lois et du respect des injonctions les concernant. Sa collaboration a été médiocre. Le comportement de l'intimé ne laisse apparaître aucune forme de prise de conscience, de regrets ou de compassion à l'égard de l'appelant principal ni du propriétaire du bien dérobé. Aussi précaire que représente un statut d'admission provisoire, sa situation personnelle ne saurait expliquer ses actes, étant relevé que l'intimé bénéficiait quand même d'un logement, certes modeste, de soins médicaux et suivait une formation, sans compter qu'il peut entrevoir une amélioration de son statut à terme. Ses antécédents, sans être très lourds, sont néanmoins partiellement spécifiques, et en tout état de cause, mauvais. Il y a concours d'infractions au sens de l'art. 49 al. 1 CP entre les lésions corporelles simples qualifiées, le recel et la violation de domicile, délits tous passibles d'une peine privative de liberté (de cinq ans maximum s'agissant du recel), ce qui justifie une augmentation de la peine dans une juste proportion. Il n'y a pas lieu de réduire la sanction au titre de la prise en compte d'une responsabilité faiblement restreinte, à rigueur des conclusions de l'expert, dont il ne sied pas de s'écarter, ou d'une des circonstances atténuantes prévues à l'art. 48 CP. Au vu de ce qui précède, une peine privative de liberté de deux ans est de nature à respecter tous les éléments propres à l'art. 47 CP et apparait suffisante pour dissuader l'intimé de récidiver ; l'exécution de la peine prononcée le 10 février 2010 n'est, dès lors, pas nécessaire (art. 46 al. 1 CP). Dite sanction ne peut être assortie du sursis, même partiel, vu l'antécédent susmentionné, et en l'absence de toute circonstance susceptible d'être tenue pour particulièrement favorable. Son comportement subséquent ne réalise pas les réquisits nécessaires qui autoriseraient de compenser l'indice défavorable constitué par cet antécédent judiciaire. Le jugement entrepris sera modifié dans le sens des considérants et l'appel joint partiellement admis sur ce point.</w:t>
      </w:r>
    </w:p>
    <w:p>
      <w:r>
        <w:rPr>
          <w:b/>
        </w:rPr>
        <w:t>E. 4</w:t>
      </w:r>
    </w:p>
    <w:p>
      <w:r>
        <w:t>4.1.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rPr>
          <w:b/>
        </w:rPr>
        <w:t>E. 4.2</w:t>
      </w:r>
    </w:p>
    <w:p>
      <w:r>
        <w:t>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130 III 699 consid. 5.1 p. 704 et 705 ; arrêt du Tribunal fédéral 6B_1066/2014 du 27 février 2014 consid. 6.1.2). Le juge proportionne le montant à la gravité de l'atteinte subie et évite que la somme accordée n'apparaisse dérisoire à la victime (ATF 125 III 269 consid. 2a p. 273 et 274 ; ATF 118 II 410 consid. 2 p. 413 ; arrêt du Tribunal fédéral 6S.470/2002 du 5 mai 2003 consid. 2.1). Statuant selon les règles du droit et de l'équité (art. 4 du Code civil suisse du 10 décembre 1907 [CC ; RS 210]), le juge dispose d'un large pouvoir d'appréciation (ATF 132 II 117 consid. 2.2.3 in limine p. 120 ; arrêt du Tribunal fédéral 6B_188/2010 du 4 octobre 2010 consid. 5.1.1).</w:t>
      </w:r>
    </w:p>
    <w:p>
      <w:r>
        <w:rPr>
          <w:b/>
        </w:rPr>
        <w:t>E. 4.3</w:t>
      </w:r>
    </w:p>
    <w:p>
      <w:r>
        <w:t>En l'espèce, le principe d'une indemnité pour tort moral doit être admis, au regard de l'atteinte à l'intégrité physique de l'appelant principal. Cela étant, il n'apparaît pas qu'il ait subi des atteintes durables à sa santé au point de justifier le versement d'un montant de CHF 15'000.-. Même à créer un traumatisme, l'agression n'était pas à ce point violente pour engendrer des conséquences psychiques indélébiles sur une personne de sensibilité moyenne. Seraient-elles dues exclusivement à cet événement que ces séquelles, bien que persistantes, ne sont pas handicapantes, ainsi qu'en atteste le seul traitement de réserve prescrit. Compte tenu de ce qui précède, une somme de CHF 2'500.- tient adéquatement compte des circonstances. Le jugement entrepris, qui déboutait l'appelant de ses conclusions civiles, sera dès lors modifié sur ce point.</w:t>
      </w:r>
    </w:p>
    <w:p>
      <w:r>
        <w:rPr>
          <w:b/>
        </w:rPr>
        <w:t>E. 5</w:t>
      </w:r>
    </w:p>
    <w:p>
      <w:r>
        <w:t>5.1. 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Dans la mesure où l'intimé s'était vu condamner – à tort, vu l'acquittement partiel prononcé – au paiement de la totalité des frais de la procédure de première instance, il n'y a pas lieu de les revoir sinon que de lui mettre à charge la moitié de l'émolument complémentaire de jugement, sur la base du même raisonnement qui suit. Même si l'intimé succombe, il y a lieu de tenir compte du fait que le verdict de culpabilité n'est prononcé que sur appel de la partie plaignante et que la qualification juridique retenue n'était pas celle requise par les appelants. L'intimé supportera la moitié des frais de la procédure d'appel, ceux-ci comprenant un émolument de jugement de CHF 3'000.- (art. 14 al. 1 let. e du Règlement fixant le tarif des frais en matière pénale ; E 4 10.03).</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des tâches effectuées qui dépasseraient la couverture du forfait. 6.2.4. Le travail consistant en des recherches juridiques, sauf questions particulièrement pointues, n'est pas indemnisé, l'État ne devant pas assumer la charge financière de la formation de l'avocat stagiaire, laquelle incombe à son maître de stage ( AARP/147/2016 du 17 mars 2016 consid. 7.3 ; AARP/302/2013 du 14 juin 2013 ; AARP/267/2013 du 7 juin 2013). 6.2.5.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 stagiaires. 6.3.1. Conformément aux principes qui précèdent, le critère de la nécessité exige d'écarter de l'état de frais du défenseur d'office de l'intimé quatre des six entretiens (quatre heures), manifestement superflus vu sa connaissance du dossier et la position de son client dans la procédure, ainsi que le temps consacré à l'analyse du jugement et des différents documents de la procédure d'appel, toutes tâches incluses dans le forfait. La durée de la préparation de sa plaidoirie n'est pas en soi critiquable (quatre heures), même si on était en droit d'attendre une intervention à la hauteur du temps dédié à l'élaborer. Aussi, l'indemnité requise par le défenseur d'office de l'intimé sera-t-elle admise à hauteur de CHF 1'960.20, ce montant correspondant à huit heures d'activité au tarif de CHF 200.-/heure (CHF 1'600.- et CHF 50.- de frais de déplacement relatifs à l'audience d'appel), plus la majoration forfaitaire de 10% vu l'activité déjà indemnisée en première instance (CHF 165.-) et la TVA au taux de 8% (CHF 145.20). 6.3.2. Considérée globalement, l'activité exercée par M e B______, conseil juridique gratuit de l'appelant, est en adéquation avec la nature, l'importance et la difficulté de la cause, hormis le temps consacré par l'avocat stagiaire aux recherches juridiques, pour les motifs susmentionnés, ainsi qu'aux vacations qui seront taxées sur la base d'un autre tarif. Par conséquent, l'indemnité requise par le conseil juridique gratuit de l'appelant sera-t-elle admise à hauteur de CHF 1'448.40, ce montant correspondant à cinq heures et cinq minutes d'activité au tarif de CHF 200.-/heure, respectivement deux heures et 30 minutes (dont deux heures de participation aux débats d'appel) à celui de CHF 65.-/heure (CHF 1'179.20.- et CHF 40.- de frais de déplacement relatifs à la consultation du dossier et à l'audience d'appel), plus la majoration forfaitaire de 10% vu l'activité déjà indemnisée en première instance (CHF 121.90) et la TVA au taux de 8% (CHF 107.30).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