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P/16944/2020 vom 5. Mai 2022</w:t>
      </w:r>
    </w:p>
    <w:p>
      <w:r>
        <w:t>GE Cour de justice, 2022-05-05, FR</w:t>
      </w:r>
    </w:p>
    <w:p>
      <w:r>
        <w:rPr>
          <w:b/>
        </w:rPr>
        <w:t xml:space="preserve">Quelle: </w:t>
      </w:r>
      <w:r>
        <w:t>https://mcp.opencaselaw.ch/entscheid/ge_gerichte_P_16944_2020</w:t>
      </w:r>
    </w:p>
    <w:p>
      <w:r>
        <w:t>FR: GE_GERICHTE P/16944/2020 du 5 mai 2022</w:t>
      </w:r>
    </w:p>
    <w:p>
      <w:r>
        <w:t>IT: GE_GERICHTE P/16944/2020 del 5 maggio 2022</w:t>
      </w:r>
    </w:p>
    <w:p>
      <w:pPr>
        <w:pStyle w:val="Heading2"/>
      </w:pPr>
      <w:r>
        <w:t>Regeste</w:t>
      </w:r>
    </w:p>
    <w:p>
      <w:r>
        <w:t>EXPULSION(DROIT PÉNAL) | LStup.19; CP.60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cosid. 1.1 et les références ; Message relatif à l'unification du droit de la procédure pénale du 21 décembre 2005, FF 2006 p. 1299).</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19 al. 1 LStup punit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Selon l'art. 19 ch. 2 let. a LStup, le cas est grave lorsque l'auteur sait ou ne peut ignorer que l'infraction peut directement ou indirectement mettre en danger la santé de nombreuses personnes. La formulation de l'art. 19 al. 2 let. a LStup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S'agissant de la quantité pour la cocaïne, la condition objective est remplie dès que l'infraction porte sur une quantité contenant 18 grammes de substance pure (ATF 145 IV 312 consid. 2.1 ; 138 IV 100 consid. 3.2).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w:t>
      </w:r>
    </w:p>
    <w:p>
      <w:r>
        <w:rPr>
          <w:b/>
        </w:rPr>
        <w:t>E. 2.3</w:t>
      </w:r>
    </w:p>
    <w:p>
      <w:r>
        <w:t>En l'espèce, A______ détenait le jour de son interpellation 222.9 grammes net de cocaïne d'un taux de pureté oscillant entre 34.1 % et 73.7 %, répartis entre son sac à dos et son appartement. L'appelant admet la détention de toute la drogue mais, à le suivre, d'une part il la gardait pour le dénommé " L______ " et, d'autre part, elle était intégralement destinée à sa consommation personnelle. Ses explications, totalement contradictoires, sont dénuées de toute crédibilité, étant précisé que la consommation qu'il allègue, soit trois à quatre grammes par semaine, est incompatible avec la quantité de drogue découverte. Pour sa part, la CPAR est convaincue et retient que la cocaïne n'avait d'autres fins que d'alimenter le trafic auquel A______ s'adonnait à nouveau, après qu'il eut été condamné en 2018 pour des faits similaires. Il avait en effet la maîtrise sur la marchandise et l'a, à l'évidence, manipulée dès lors que son ADN a été retrouvé à de nombreux endroits incriminants, y compris sur et dans des bouts brûlés des sachets. En outre, il avait du matériel de conditionnement chez lui et, au moment de son interpellation, était porteur de 10 boulettes de cocaïne, manifestement destinées à la vente. Enfin les éléments issus des mesures de surveillances techniques viennent renforcer la conviction de la CPAR au vu du langage codé utilisé et de l'organisation manifeste d'une livraison lors de la conversation du 22 juillet 2020. La tentative de l'appelant de se réfugier derrière le prétendu " L______ " est de pure circonstance et est, pour le moins, grossière, celui-ci ayant servi la même justification dénuée de tout fondement à l'occasion de la procédure qui a conduit à sa précédente condamnation pour des faits similaires. Il en va de même de sa prétendue toxicomanie, laquelle n'est nullement établie. La condition objective de la circonstance aggravante est réalisée, la quantité de drogue pure étant largement supérieure à 18 grammes net, étant relevé que le taux de pureté moyen est élevé. Quant à la condition subjective, la CPAR retient que A______ est durablement ancré dans le trafic de stupéfiants, sa première condamnation pour infraction à la LStup remontant à 2013. Dès lors, la CPAR considère, qu'à tout le moins, A______ ne pouvait ignorer que sa participation à un trafic de cocaïne portant sur plus de 200 grammes nets de cette drogue était propre à la mise en danger, directe ou indirecte, de la vie de nombreuses personnes. Le verdict de culpabilité retenu par le TCO du chef d'infraction à l'art. 19 al. 1 let. d et al. 2 let. a LStup sera par conséquent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rPr>
          <w:b/>
        </w:rPr>
        <w:t>E. 3.2</w:t>
      </w:r>
    </w:p>
    <w:p>
      <w:r>
        <w:t>Si, durant les cinq ans qui précèdent l'infraction, l'auteur a été condamné à une peine privative de liberté ferme ou avec sursis de plus de six mois, il ne peut y avoir de sursis à l'exécution de la peine qu'en cas de circonstances particulièrement favorables (art. 42 al. 2 CP).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w:t>
      </w:r>
    </w:p>
    <w:p>
      <w:r>
        <w:rPr>
          <w:b/>
        </w:rPr>
        <w:t>E. 3.3</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p. 152 s.).</w:t>
      </w:r>
    </w:p>
    <w:p>
      <w:r>
        <w:rPr>
          <w:b/>
        </w:rPr>
        <w:t>E. 3.4</w:t>
      </w:r>
    </w:p>
    <w:p>
      <w:r>
        <w:t>En l'espèce, la faute du prévenu est très importante. Il s'est adonné – à nouveau – à un trafic de cocaïne portant sur une quantité significative de cette drogue, destinée à être vendue. Sa position dans le trafic n'était pas celle d'un simple ouvrier ou gardien. Au contraire, il est parvenu à être en possession et à détenir plus de 200 grammes de cocaïne d'un taux de pureté élevé qui était propre à générer, après coupage, des quantités encore plus importantes. Il s'est ainsi adonné à un important trafic de cocaïne. Seule son arrestation a mis fin à ses agissements. Il a agi par appât du gain facile et par convenance personnelle, soit pour des mobiles égoïstes, et au mépris de la santé publique. Sa situation personnelle n'excuse pas ses agissements. Il bénéficiait d'une situation familiale stable, de la nationalité portugaise, pays dans lequel il pouvait travailler. Sa collaboration à la procédure a été nulle. S'il a certes admis la détention de la drogue, élément difficilement contestable, il n'a eu de cesse de minimiser son implication, donnant des explications fantaisistes, en particulier s'agissant de l'existence du prétendu " L______ ", ayant déjà utilisé cette défense sans fondement par le passé. Il n'a pas donné la moindre explication crédible en lien avec les écoutes téléphoniques et la présence de son ADN à de nombreux endroits incriminants. Les excuses présentées paraissent de pure circonstance et ne pèsent pas lourd étant donné qu'il s'est adonné à un trafic de cocaïne peu après sa dernière condamnation de janvier 2018 pour des faits similaires. L'ensemble de ces éléments montrent qu'il n'y a, en réalité, aucune prise de conscience de sa part et qu'il est durablement ancré dans la délinquance. L'appelant ayant été condamné à une peine de 30 mois avec sursis partiel le 31 janvier 2018 pour des faits similaires, il y lieu d'analyser les circonstances qui lui sont applicables. Force est de constater qu'elles sont très clairement défavorables, A______ étant toujours actif dans le trafic de cocaïne au vu de sa récidive spécifique et n'assumant pas les conséquences de ses agissements. L'octroi du sursis, partiel ou total, est dès lors exclu et le sursis antérieur devra être révoqué. Au vu de l'ensemble de ces éléments et de la peine plancher d'un an prévue pour l'infraction grave à la LStup, la peine privative de liberté de base sera fixée à trois ans. Le solde de la peine dont le sursis est révoqué s'élevant à 15 mois de privation de liberté, il sera réduit à 12 mois en application du principe d'aggravation. A______ sera ainsi condamné à une peine privative de liberté d'ensemble de quatre ans. L'appel de A______ sera par conséquent rejeté et l'appel joint du MP partiellement admis.</w:t>
      </w:r>
    </w:p>
    <w:p>
      <w:r>
        <w:rPr>
          <w:b/>
        </w:rPr>
        <w:t>E. 3.5</w:t>
      </w:r>
    </w:p>
    <w:p>
      <w:r>
        <w:t>Selon l'art. 51 CP, le juge impute sur la peine la détention avant jugement subie par l'auteur dans le cadre de l'affaire qui vient d'être jugée ou d'une autre procédure. Lorsque la durée de la détention avant jugement est supérieure à celle de la peine privative de liberté ou du nombre de jours-amende, une imputation sur une amende (art. 106 CP) est admissible. Contrairement à l'ancien droit (art. 69 aCP), cette imputation intervient sans condition et il n'est pas nécessaire que la détention avant jugement ait été subie dans le cadre de la même procédure. Le taux de conversion d'un jour de détention est le même que celui par lequel le juge détermine la peine privative de liberté de substitution en cas de non paiement fautif de l'amende selon l'art. 106 al. 3 CP (ATF 135 IV 126 consid. 1.3.9 p. 130).</w:t>
      </w:r>
    </w:p>
    <w:p>
      <w:r>
        <w:rPr>
          <w:b/>
        </w:rPr>
        <w:t>E. 3.6</w:t>
      </w:r>
    </w:p>
    <w:p>
      <w:r>
        <w:t>La détention avant jugement effectuée dans la présente procédure sera déduite. Il sera aussi tenu compte des jours de détention effectués lors de la condamnation du 31 janvier 2018 et qui avaient dépassé la partie ferme, soit 35 jours (art. 51 CP).</w:t>
      </w:r>
    </w:p>
    <w:p>
      <w:r>
        <w:rPr>
          <w:b/>
        </w:rPr>
        <w:t>E. 4</w:t>
      </w:r>
    </w:p>
    <w:p>
      <w:r>
        <w:t>4.1. A teneur de l'art. 66a al. 1 let. o CP, le juge expulse de Suisse, pour une durée de cinq à quinze ans, l'étranger qui est condamné pour infraction à l'art. 19 al. 2 LStup.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rPr>
          <w:b/>
        </w:rPr>
        <w:t>E. 4.2</w:t>
      </w:r>
    </w:p>
    <w:p>
      <w:r>
        <w:t>En l'espèce, la conclusion de l'appelant visant à ce qu'il soit renoncé à son expulsion est irrecevable, faute d'avoir été mentionnée dans la déclaration d'appel. En toute hypothèse, même si formulée à temps, la CPAR n'y aurait pas donné une suite favorable, les conditions de la clause de rigueur n'étant manifestement pas réunies en l'espèce.</w:t>
      </w:r>
    </w:p>
    <w:p>
      <w:r>
        <w:rPr>
          <w:b/>
        </w:rPr>
        <w:t>E. 4.4</w:t>
      </w:r>
    </w:p>
    <w:p>
      <w:r>
        <w:t>En l'occurrence, vu la difficulté relative de la procédure, cinq heures apparaissaient suffisantes pour étudier le dossier et préparer la plaidoirie. Ainsi, le poste de cinq heures pour l'étude du dossier le 25 janvier 2022 sera retranché. En conclusion, la rémunération sera arrêtée à CHF 1'350.60 correspondant à neuf heures d'activité au tarif de CHF 110.-/heure plus CHF 55.- à titre de vacation, la majoration forfaitaire de 20% et l'équivalent de la TVA au taux de 7.7% en CHF 96.60.-. * * * *</w:t>
      </w:r>
    </w:p>
    <w:p>
      <w:r>
        <w:rPr>
          <w:b/>
        </w:rPr>
        <w:t>E. 5</w:t>
      </w:r>
    </w:p>
    <w:p>
      <w:r>
        <w:t>Les motifs ayant conduit le TCO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 est rejeté et l'appel joint partiellement admis, de sorte qu'il convient de répartir les frais de la procédure d'appel, comprenant un émolument d'arrêt de CHF 1'500.-, en tenant compte de la mesure dans laquelle chacun succombe (art. 428 al. 1 CPP et art. 14 al. 1 let e du Règlement fixant le tarif des frais en matière pénale [RTFMP]). Au vu des conclusions prises par les parties, A______ supportera 70% de ces frais, le solde étant laissé à la charge de l'État de Genève. Vu l'issue de la procédure, il n'y a pas lieu de revoir la répartition des frais de la procédure préliminaire et de première instance.</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