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P/16912/2006 vom 4. November 2013</w:t>
      </w:r>
    </w:p>
    <w:p>
      <w:r>
        <w:t>GE Cour de justice, 2013-11-04, FR</w:t>
      </w:r>
    </w:p>
    <w:p>
      <w:r>
        <w:rPr>
          <w:b/>
        </w:rPr>
        <w:t xml:space="preserve">Quelle: </w:t>
      </w:r>
      <w:r>
        <w:t>https://mcp.opencaselaw.ch/entscheid/ge_gerichte_P_16912_2006</w:t>
      </w:r>
    </w:p>
    <w:p>
      <w:r>
        <w:t>FR: GE_GERICHTE P/16912/2006 du 4 novembre 2013</w:t>
      </w:r>
    </w:p>
    <w:p>
      <w:r>
        <w:t>IT: GE_GERICHTE P/16912/2006 del 4 novembre 2013</w:t>
      </w:r>
    </w:p>
    <w:p>
      <w:pPr>
        <w:pStyle w:val="Heading2"/>
      </w:pPr>
      <w:r>
        <w:t>Regeste</w:t>
      </w:r>
    </w:p>
    <w:p>
      <w:r>
        <w:t>ESCROQUERIE | CP.146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Lorsqu'une partie conclut à son acquittement et déclare attaquer le jugement dans son ensemble, la juridiction d'appel, qui dispose d'un plein pouvoir d'examen et applique le droit d'office, est tenue d'examiner d'office la quotité de la peine, l'appel étant compris comme portant sur l'ensemble du jugement, à moins que l'appelant n'ait précisé le contraire (arrêt du Tribunal fédéral 6B_547/2012 du 26 mars 2013 consid. 3.3).</w:t>
      </w:r>
    </w:p>
    <w:p>
      <w:r>
        <w:rPr>
          <w:b/>
        </w:rPr>
        <w:t>E. 2</w:t>
      </w:r>
    </w:p>
    <w:p>
      <w:r>
        <w:t>Le principe in dubio pro reo , qui découle de la présomption d'innocence, garantie par l'art. 6 ch.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l'appelant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3.1.1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 cf . ATF 119 IV 210 consid. 3 p. 212). 3.1.2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3.1.3 Pour qu'il y ait escroquerie, une simple tromperie ne suffit cependant pas ; il faut qu'elle soit astucieuse. Il y a astuce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122 IV 197 consid. 3d p. 205). Il y a ainsi manœuvre frauduleuse, par exemple, si l'auteur emploie un document faux ou fait intervenir, à l'appui de sa tromperie, un tiers participant ou manipulé. L'astuce sera également retenue si, en fonction des circonstances, une vérification ne pouvait pas être exigée de la dupe (ATF 126 IV 165 consid. 2a p. 171). Cette hypothèse vise en particulier les opérations courantes, de faible valeur, pour lesquelles une vérification entraînerait des frais ou une perte de temps disproportionnée ou ne peut être exigée pour des raisons commerciales. L'astuce sera également admise lorsque l'auteur exploite un rapport de confiance préexistant propre à dissuader la dupe d'effectuer certaines vérifications (ATF 126 IV 165 consid. 2a p. 171 ; 125 IV 124 consid. 3a p. 127 s. et les arrêts cités).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3.1.4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p. 281 et 121 IV 104 consid. 2c p. 107 s). Lorsque la dupe porte préjudice non pas à ses propres intérêts mais à ceux d'un tiers, la réalisation de l'escroquerie nécessite que la dupe soit responsable du patrimoine visé et au moins qu'elle puisse en disposer effectivement (ATF 133 IV 171 consid. 4.3 p. 175). 3.1.5 Sur le plan subjectif, l'escroquerie est une infraction intentionnelle.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w:t>
      </w:r>
    </w:p>
    <w:p>
      <w:r>
        <w:rPr>
          <w:b/>
        </w:rPr>
        <w:t>E. 3.2</w:t>
      </w:r>
    </w:p>
    <w:p>
      <w:r>
        <w:t>En l'espèce, le nombre important d'arrêts de travail prescrits, leur proximité temporelle, l'opacité du système mis en place et la démesure des salaires des collaborateurs de D______ et E______ ne laissent planer aucun doute sur la culpabilité des appelants.</w:t>
      </w:r>
    </w:p>
    <w:p>
      <w:r>
        <w:rPr>
          <w:b/>
        </w:rPr>
        <w:t>E. 3.2.1</w:t>
      </w:r>
    </w:p>
    <w:p>
      <w:r>
        <w:t>Les appelants et les autres collaborateurs de D______ et de E______ se sont vu prescrire entre le mois d'août 2005 et le mois de septembre 2006 pas moins de dix-neuf arrêts de travail, alors que les sociétés ont compté en tout et pour tout six collaborateurs, travaillant à des moments différents pour les deux sociétés. Un cercle restreint de cinq médecins a été consulté. Il n'est pas impossible que certains arrêts de travail prescrits soient légitimes. Toutefois, il n'est pas crédible que leur majorité ait une raison médicale suffisante eu égard au rapprochement temporel entre les entrées en service et les demandes d'indemnisation pour arrêt de travail. Le comble a été atteint avec X______, cinq fois en arrêt de travail sur une période d'environ cinquante semaines, totalisant près de neuf mois d'absence et consultant, tour à tour, quatre des cinq médecins intervenus dans le dossier. Elle a d'ailleurs reconnu avoir exagéré ses maux, avoir travaillé "un peu" pendant ses prétendues incapacités et qu'il était pratique de recevoir une rémunération hors des périodes d'activité des sociétés. Il n'en va pas autrement de l'accident de voiture survenu le 17 juillet 2006, manifestement mis en scène, étant donné les aveux de X______, les explications contradictoires des protagonistes et l'impossibilité pour les médecins consultés de poser un diagnostic cohérent avec les maux dont les appelants disaient souffrir. Le salaire est la contre-prestation du travail fourni par l'employé, il ne comprend donc pas les frais lié à l'activité de ce dernier (P. Tercier / P. Favre, Les contrats spéciaux , 4 e éd., Zurich 2009, n. 3417, art. 9 al. 1 du règlement sur l'assurance-vieillesse et survivants du 31 octobre 1947 [RAVS ; RS 831.101]. Les frais ne correspondent pas en la rémunération du travail (ATF 116 II 145 consid. 6.b), JdT 1990 I p. 578) et ne sont donc pas couverts par une assurance perte de gain, comme le prévoient les conditions générales d'assurance de A______. La part de "mérite" est censée expliquer les différences de salaires promis aux collaborateurs des sociétés (P. Tercier / P. Favre, Op. cit. , n. 3440 ss). Usuellement et dans ce cas, il est prévu une part salariale de base, assez faible, à laquelle s'ajoute une part variable, fonction des performances de l'employé. En cas d'arrêt de travail, l'assureur annualise la part variable du salaire et compense le gain manqué selon la période d'absence de l'employé, ce que prévoient les conditions générales d'assurance de A. Or, en l'espèce, les salaires promis contractuellement intègrent les frais et la rémunération supposément variable aux fins de permettre un dédommagement le plus important possible de la part des assureurs, montrant ainsi la volonté d'enrichissement des appelants, Y______ ayant même avoué engager ses collaborateurs pour de courtes périodes afin d'éviter l'assujettissement à la prévoyance professionnelle. L'on pourrait même penser qu'un apporteur d'affaires, tels que les collaborateurs des sociétés sont présentés, devrait être lié par un contrat de mandat et non de travail, dans la mesure où le lien de subordination caractéristique du contrat individuel de travail fait défaut (P. Tercier / P. Favre, op. cit. , n. 4940, 5001). Il y a donc bien eu tromperie de la part de l'appelant, à laquelle son épouse s'est associée en ce qui la concernant.</w:t>
      </w:r>
    </w:p>
    <w:p>
      <w:r>
        <w:rPr>
          <w:b/>
        </w:rPr>
        <w:t>E. 3.2.2</w:t>
      </w:r>
    </w:p>
    <w:p>
      <w:r>
        <w:t>L'opacité du système, l'interchangeabilité de D______ et E______, la démesure des salaires et leurs compositions font que la tromperie doit être qualifiée d'astucieuse. Les employés étaient tour à tour engagés par l'une ou l'autre des sociétés administrées par Y______ et les arrêts de travails rarement déclarés aux mêmes assureurs, qui ne pouvaient pas avoir une vue d'ensemble du système mis en place. De plus, les sinistres étaient toujours étayés par un certificat médical. La duperie était donc difficile à sonder. Par ailleurs, l'organisation salariale mise en place par Y______ est un élément supplémentaire de l'astuce employée. Le système respectait les normes établies en matière de droit des obligations, mais la production de contrats de travail et de fiches de salaire donnait la fausse impression que les salaires promis correspondaient réellement à une activité typique d'un employé recevant uniquement une rémunération mensuelle fixe.</w:t>
      </w:r>
    </w:p>
    <w:p>
      <w:r>
        <w:rPr>
          <w:b/>
        </w:rPr>
        <w:t>E. 3.2.3</w:t>
      </w:r>
    </w:p>
    <w:p>
      <w:r>
        <w:t>Le préjudice subi par les assureurs est important. Le montant des indemnités versées est admis par toutes les parties. Bien qu'il ne soit pas établi que le dommage soit égal à toutes les compensations versées, il est plus que probable qu'il s'en approche.</w:t>
      </w:r>
    </w:p>
    <w:p>
      <w:r>
        <w:rPr>
          <w:b/>
        </w:rPr>
        <w:t>E. 3.2.4</w:t>
      </w:r>
    </w:p>
    <w:p>
      <w:r>
        <w:t>Les appelants ne pouvaient pas ignorer la fausseté des déclarations de sinistres. Y______ les établissait et, s'il était de bonne foi, aurait dû éprouver des doutes quant au nombre de certificats médicaux qui lui étaient présentés. De plus, il ne s'est jamais séparé d'un collaborateur trop souvent absent et n'a même jamais voulu s'interroger sur le bien-fondé des arrêts de travail des employés de ses sociétés. Est, par exemple, édifiant l'engagement de B______ pour une activité que lui-même ne pouvait définir pour un salaire plus que généreux à un moment où son frère le savait psychologiquement fragile et conséquemment peu susceptible de travailler. Y______ a d'ailleurs admis l'avoir engagé pour lui rendre service. Il ne fait donc aucun doute sur son intention délictuelle. Les aveux de X______ lors de son audition par la police et le juge d'instruction sont crédibles et cohérents avec les éléments du dossier, contrairement aux explications fournies ultérieurement. Son intention est établie.</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w:t>
      </w:r>
    </w:p>
    <w:p>
      <w:r>
        <w:rPr>
          <w:b/>
        </w:rPr>
        <w:t>E. 4.2</w:t>
      </w:r>
    </w:p>
    <w:p>
      <w:r>
        <w:t>La faute de Y______ est lourde. Il a fait supporter aux assureurs le salaire que E______ et D______ promettaient à ses collaborateurs, répétant systématiquement le même procédé. Il engageait les employés en sachant que peu de temps après le début de leur activité, une incapacité de gain serait déclarée, annonces dont il ne pouvait ignorer la fausseté. Son mobile relève de l'appât du gain, raison pour laquelle les salaires annoncés étaient sans commune mesure avec l'activité censée être déployée, malgré le caractère prétendument irrationnel du monde du jeu. Il a mis en place tout un mécanisme pour tromper les assureurs et a même été jusqu'à mettre en scène un accident de la circulation. La faute de X______ est importante. Bien qu'elle ne soit pas à l'origine de l'infraction, elle en a compris les rouages, y a totalement adhéré et a pleinement participé à sa réalisation. De son propre aveu, elle a voulu s'enrichir au détriment des lésés en se faisant prescrire des arrêts de travail sans réelle cause médicale. La collaboration des appelants à la procédure a été mauvaise. Y______ a persisté à contester les infractions qui lui étaient reprochées. Il a continuellement minimisé son rôle qui n'aurait été que celui d'intermédiaire entre les médecins et les assureurs, ce qui n'est pas crédible car il fixait lui-même l'étendue de la rémunération des collaborateurs et, partant, les indemnités versées par les assureurs. Sa prise de conscience est inexistante, il continue à se murer dans le déni. X______ a rétracté ses aveux en jetant le discrédit sur les autorités de poursuite, prétextant des problèmes de langue alors qu'elle n'a jamais fait appel à un interprète et n'en a indubitablement pas besoin. Elle ne montre donc aucune prise de conscience. L'absence d'antécédents a un effet neutre sur la fixation de la peine (ATF 136 IV 1 consid. 2.6). Les peines auxquelles ont été condamnés les appelants sont adéquates et seront confirmées.</w:t>
      </w:r>
    </w:p>
    <w:p>
      <w:r>
        <w:rPr>
          <w:b/>
        </w:rPr>
        <w:t>E. 5</w:t>
      </w:r>
    </w:p>
    <w:p>
      <w:r>
        <w:t>Y______ a conclu à la restitution des objets saisis. Or, le tribunal de première instance a ordonné la restitution des pièces figurant aux inventaires des 16 août 2007, 14 janvier 2008 et 29 mai 2008. Il ne ressort pas du dossier que d'autres objets aient été saisis. La requête est donc sans objet.</w:t>
      </w:r>
    </w:p>
    <w:p>
      <w:r>
        <w:rPr>
          <w:b/>
        </w:rPr>
        <w:t>E. 6</w:t>
      </w:r>
    </w:p>
    <w:p>
      <w:r>
        <w:t>Les appelants, qui succombent, supporteront, pour moitié chacun, les frais de la procédure envers l'État (art. 428 CPP), comprenant une indemnité de CHF 2'000.- (art. 14 al. 1 let. e du règlement fixant le tarif des frais en matière pénale du 22 décembre 2010 (RTFMP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