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P/16894/2012 vom 11. Februar 2019</w:t>
      </w:r>
    </w:p>
    <w:p>
      <w:r>
        <w:t>GE Cour de justice, 2019-02-11, FR</w:t>
      </w:r>
    </w:p>
    <w:p>
      <w:r>
        <w:rPr>
          <w:b/>
        </w:rPr>
        <w:t xml:space="preserve">Quelle: </w:t>
      </w:r>
      <w:r>
        <w:t>https://mcp.opencaselaw.ch/entscheid/ge_gerichte_P_16894_2012</w:t>
      </w:r>
    </w:p>
    <w:p>
      <w:r>
        <w:t>FR: GE_GERICHTE P/16894/2012 du 11 février 2019</w:t>
      </w:r>
    </w:p>
    <w:p>
      <w:r>
        <w:t>IT: GE_GERICHTE P/16894/2012 del 11 febbraio 2019</w:t>
      </w:r>
    </w:p>
    <w:p>
      <w:pPr>
        <w:pStyle w:val="Heading2"/>
      </w:pPr>
      <w:r>
        <w:t>Regeste</w:t>
      </w:r>
    </w:p>
    <w:p>
      <w:r>
        <w:t>RÉVISION(DÉCISION) ; MOTIF DE RÉVISION ; QUESTION PRÉJUDICIELLE | CPP.410.al1; CPP.412.al1; CPP.412.al2; CEDH.3</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arrêt du Tribunal fédéral 6B_71/2016 consid. 5.3 et la jurisprudence citée). 2.1.5.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op. cit.,</w:t>
      </w:r>
    </w:p>
    <w:p>
      <w:r>
        <w:rPr>
          <w:b/>
        </w:rPr>
        <w:t>E. 3</w:t>
      </w:r>
    </w:p>
    <w:p>
      <w:r>
        <w:t>Le requérant, qui succombe, supportera les frais de la procédure, comprenant un émolument de CHF 1'500.- (art. 428 CPP et. 14 al. 1 let. e du Règlement fixant le tarif des frais en matière pénale, du 22 décembre 201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