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P/16891/2018 vom 20. September 2019</w:t>
      </w:r>
    </w:p>
    <w:p>
      <w:r>
        <w:t>GE Cour de justice, 2019-09-20, FR</w:t>
      </w:r>
    </w:p>
    <w:p>
      <w:r>
        <w:rPr>
          <w:b/>
        </w:rPr>
        <w:t xml:space="preserve">Quelle: </w:t>
      </w:r>
      <w:r>
        <w:t>https://mcp.opencaselaw.ch/entscheid/ge_gerichte_P_16891_2018</w:t>
      </w:r>
    </w:p>
    <w:p>
      <w:r>
        <w:t>FR: GE_GERICHTE P/16891/2018 du 20 septembre 2019</w:t>
      </w:r>
    </w:p>
    <w:p>
      <w:r>
        <w:t>IT: GE_GERICHTE P/16891/2018 del 20 settembre 2019</w:t>
      </w:r>
    </w:p>
    <w:p>
      <w:pPr>
        <w:pStyle w:val="Heading2"/>
      </w:pPr>
      <w:r>
        <w:t>Regeste</w:t>
      </w:r>
    </w:p>
    <w:p>
      <w:r>
        <w:t>DEMANDE ADRESSÉE À L'AUTORITÉ;PROLONGATION DU DÉLAI;CALOMNIE;DIFFAMATION | cpp.92; cp.3</w:t>
      </w:r>
    </w:p>
    <w:p>
      <w:pPr>
        <w:pStyle w:val="Heading2"/>
      </w:pPr>
      <w:r>
        <w:t>Erwägungen</w:t>
      </w:r>
    </w:p>
    <w:p>
      <w:r>
        <w:rPr>
          <w:b/>
        </w:rPr>
        <w:t>E. 1</w:t>
      </w:r>
    </w:p>
    <w:p>
      <w:r>
        <w:t>Le recours a été déposé selon la forme et dans le délai prescrits (art. 385 al. 1 et 396 al. 1 CPP), concerne des décisions sujettes à recours auprès de la Chambre de céans (art. 393 al. 1 let. a CPP) et émane du plaignant qui, partie à la procédure (art. 104 al. 1 let. b CPP), avait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souhaite voir annuler la décision du Ministère public lui refusant une prolongation de délai pour faire valoir ses réquisitions de preuves.</w:t>
      </w:r>
    </w:p>
    <w:p>
      <w:r>
        <w:rPr>
          <w:b/>
        </w:rPr>
        <w:t>E. 3.1</w:t>
      </w:r>
    </w:p>
    <w:p>
      <w:r>
        <w:t>L'art. 92 CPP prévoit que les autorités peuvent prolonger les délais ou ajourner les termes qu'elles ont fixés, d'office ou sur demande. La demande doit être présentée avant l'expiration des délais et être suffisamment motivée. 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 cf . arrêt du Tribunal fédéral 6B_229/2015 du 30 avril 2015 consid. 1.1 et la doctrine citée).</w:t>
      </w:r>
    </w:p>
    <w:p>
      <w:r>
        <w:rPr>
          <w:b/>
        </w:rPr>
        <w:t>E. 3.2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3.3</w:t>
      </w:r>
    </w:p>
    <w:p>
      <w:r>
        <w:t>En l'espèce, force est de constater que la demande de prolongation a été reçue par le Ministère public le dernier jour du délai, soit avant son échéance, et que le motif invoqué était légitime. Le Ministère public aurait ainsi pu y donner une suite favorable, ce d'autant que le délai octroyé originellement était bref. Cependant, depuis lors, le recourant a eu accès à la procédure et a pu faire valoir ses griefs par devant la Chambre de céans, lui transmettre toute pièce qu'il estimait utile, et a eu le loisir de formuler des réquisitions de preuve, ce qu'il n'a cependant pas fait, si ce n'est sous la forme d'exemples. Par conséquent, l'éventuelle violation de son droit d'être entendu aurait été réparée, la Chambre de céans disposant d'un plein pouvoir d'examen (art. 393 al. 2 CPP). Ce grief sera dès lors rejeté.</w:t>
      </w:r>
    </w:p>
    <w:p>
      <w:r>
        <w:rPr>
          <w:b/>
        </w:rPr>
        <w:t>E. 4</w:t>
      </w:r>
    </w:p>
    <w:p>
      <w:r>
        <w:t>L'art. 8 al. 3 CPP prévoit que le ministère public et les tribunaux peuvent renoncer à engager une poursuite pénale si aucun intérêt prépondérant ne s'y oppose et que l'infraction fait déjà l'objet d'une poursuite de la part d'une autorité étrangère. Il s'agit ici d'une " formule facultative " (M. DUPUIS / L. MOREILLON / C. PIGUET / S. BERGER / M. MAZOU / V. RODIGARI (éds), Code de procédure pénale- Petit commentaire, Bâle 2016, n. 12 ad. art. 8 CPP). Ainsi, le fait qu'une procédure ait été ouverte en Iran ne constitue pas, en soi, un empêchement de procéder, l'art. 8 al. 3 CPP n'obligeant pas la direction de la procédure à renoncer à la poursuite.</w:t>
      </w:r>
    </w:p>
    <w:p>
      <w:r>
        <w:rPr>
          <w:b/>
        </w:rPr>
        <w:t>E. 5</w:t>
      </w:r>
    </w:p>
    <w:p>
      <w:r>
        <w:t>La question en rapport avec le principe "ne bis in idem" peut être laissée ouverte vu l'issue du litige.</w:t>
      </w:r>
    </w:p>
    <w:p>
      <w:r>
        <w:rPr>
          <w:b/>
        </w:rPr>
        <w:t>E. 6</w:t>
      </w:r>
    </w:p>
    <w:p>
      <w:r>
        <w:t>L'infraction dénoncée ayant été commise par le biais d'internet, la question de la compétence des autorités suisses se pose.</w:t>
      </w:r>
    </w:p>
    <w:p>
      <w:r>
        <w:rPr>
          <w:b/>
        </w:rPr>
        <w:t>E. 6.1</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6.2</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op. cit,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 ACAS/66/04 précité ; ACPR/470/2017 du 11 juillet 2017 consid. 5.1).</w:t>
      </w:r>
    </w:p>
    <w:p>
      <w:r>
        <w:rPr>
          <w:b/>
        </w:rPr>
        <w:t>E. 6.3</w:t>
      </w:r>
    </w:p>
    <w:p>
      <w:r>
        <w:t>En l'espèce, tant le contenu de la publication incriminée, que son mode élargi de diffusion, montrent que l'objectif de son auteur était de nuire à la réputation du recourant auprès d'un cercle de personnes aussi large que possible. Le recourant soutient dans son recours avoir des connaissances et amis en Suisse. Il ressort du dossier qu'il a également régulièrement affirmé y entretenir des contacts professionnels - raison pour laquelle B______ avait fait appel à lui pour y développer ses affaires -. Le public cible visé par le rédacteur de la publication litigieuse comprenait ainsi vraisemblablement celui se trouvant potentiellement dans ce pays, ce d'autant que le jugement du TCor y a été d'ailleurs été reproduit dans sa version originale, soit en français. Vu l'issue du litige, cette question peut toutefois rester ouverte.</w:t>
      </w:r>
    </w:p>
    <w:p>
      <w:r>
        <w:rPr>
          <w:b/>
        </w:rPr>
        <w:t>E. 7</w:t>
      </w:r>
    </w:p>
    <w:p>
      <w:r>
        <w:t>Le recourant, qui succombe, supportera les frais envers l'État, qui seront fixés en totalité à CHF 1'500.- (art. 428 al. 1 CPP et 13 al. 1 du Règlement fixant le tarif des frais en matière pénale, RTFMP ; E 4 10.03). * * * * *</w:t>
      </w:r>
    </w:p>
    <w:p>
      <w:r>
        <w:rPr>
          <w:b/>
        </w:rPr>
        <w:t>E. 7.1</w:t>
      </w:r>
    </w:p>
    <w:p>
      <w:r>
        <w:t>. Le ministère public ordonne le classement de tout ou partie de la procédure, notamment, lorsqu'aucun soupçon justifiant une mise en accusation n'est établi ou que les éléments constitutifs d'une infraction ne sont pas réalisés (art. 319 al. 1 let. a et let. b CPP). La décision de classer la procédure doit être prise en application du principe "in dubio pro duriore" , qui découle du principe de la légalité (art. 5 al. 1 Cst. et art. 2 al. 2 CPP en relation avec les art. 319 al. 1 et 324 al. 1 CPP ; ATF 138 IV 86 consid. 4.2.).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L'autorité de recours ne saurait ainsi confirmer un classement au seul motif qu'une condamnation n'apparaît pas plus probable qu'un acquittement (ATF 143 IV 241 consid. 2.2.1 p. 243 ; arrêt du Tribunal fédéral 6B_116/2019 du 11 mars 2019 consid. 2.1).</w:t>
      </w:r>
    </w:p>
    <w:p>
      <w:r>
        <w:rPr>
          <w:b/>
        </w:rPr>
        <w:t>E. 7.2</w:t>
      </w:r>
    </w:p>
    <w:p>
      <w:r>
        <w:t>En l'espèce, bien que le mis en cause ait, également, été destinataire du jugement du TCor - publié, ensuite, sur le compte E______ litigieux - et qu'il ait développé une importante rancoeur à l'égard du recourant, ces éléments ne suffisent pas à le lier à la publication querellée. En effet, B______ a expliqué avoir transmis ce jugement à plusieurs personnes, de sorte qu'il n'était plus le seul à en détenir copie. En outre, il ne parle pas anglais, alors que la publication litigieuse a notamment été rédigée dans cette langue. Bien qu'il ait fait allusion à une "maîtresse russe" dans sa plainte pénale, il n'a, par ailleurs, jamais accusé le recourant d'une quelconque infraction à l'intégrité sexuelle, contrairement à la publication qui fait référence à des viols. Il nie également avoir pris la photographie du recourant au tribunal et les images de vidéosurveillance de la salle _____ ne sont plus consultables. Quoi qu'il en soit, même s'il était démontré que le mis en cause avait bel et bien pris cette photographie, cet élément, à lui seul, ne suffirait pas à démontrer qu'il est l'auteur de la publication litigieuse. Force est de constater que ni les autorités iraniennes - malgré le recours à des experts -, ni les autorités genevoises n'ont réussi à identifier l'auteur du compte E______ litigieux ou à relier d'une autre façon ce compte au mis en cause ou à un de ses proches. En effet, la demande faite par la police genevoise à ce site internet n'a pas obtenu de réponse, ce malgré une attente de plusieurs mois. Comme l'explique le recourant lui-même, ce type d'informations n'est conservé qu'une année par E______. Ces données sont, selon toute vraisemblance, aujourd'hui détruites. Une reprise de l'instruction ne pourrait, dès lors, pas, en l'état, amener de nouveaux éléments propres à étayer les accusations du recourant. Si malgré tout, la police recevait une réponse, la procédure pourrait toujours être reprise (art. 323 CPP). Par conséquent, sans indice plus probant, l'acquittement du mis en cause apparait plus probable qu'une condamnation, justifiant le classement de la procédure. 6. L'ordonnance de classement querellée sera donc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