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P/16867/2011 vom 12. Juni 2014</w:t>
      </w:r>
    </w:p>
    <w:p>
      <w:r>
        <w:t>GE Cour de justice, 2014-06-12, FR</w:t>
      </w:r>
    </w:p>
    <w:p>
      <w:r>
        <w:rPr>
          <w:b/>
        </w:rPr>
        <w:t xml:space="preserve">Quelle: </w:t>
      </w:r>
      <w:r>
        <w:t>https://mcp.opencaselaw.ch/entscheid/ge_gerichte_P_16867_2011</w:t>
      </w:r>
    </w:p>
    <w:p>
      <w:r>
        <w:t>FR: GE_GERICHTE P/16867/2011 du 12 juin 2014</w:t>
      </w:r>
    </w:p>
    <w:p>
      <w:r>
        <w:t>IT: GE_GERICHTE P/16867/2011 del 12 giugno 2014</w:t>
      </w:r>
    </w:p>
    <w:p>
      <w:pPr>
        <w:pStyle w:val="Heading2"/>
      </w:pPr>
      <w:r>
        <w:t>Regeste</w:t>
      </w:r>
    </w:p>
    <w:p>
      <w:r>
        <w:t>ACCUSATION; ACTE D'ACCUSATION; INFRACTIONS CONTRE L'HONNEUR; DIFFAMATION; FARDEAU DE LA PREUVE; MENACE(DROIT PÉNAL); FIXATION DE LA PEINE | CPP.325.1; CP.173.1; CP.173.2; CP.173.3; CP.180.1; CP.47</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w:t>
      </w:r>
    </w:p>
    <w:p>
      <w:r>
        <w:rPr>
          <w:b/>
        </w:rPr>
        <w:t>E. 2.1</w:t>
      </w:r>
    </w:p>
    <w:p>
      <w:r>
        <w:t>Le principe in dubio pro reo , qui découle de la présomption d'innocence, garantie par l'art. 6 ch. 2 CEDH et, sur le plan interne, par les art. 32 al. 1 Cst.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 2.2.1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Cette disposition protège la réputation d'être une personne honorable, c'est-à-dire de se comporter comme une personne digne a coutume de le faire selon les conceptions généralement reçues. Il faut donc que l'atteinte fasse apparaître la personne visée comme méprisable ( ).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Il n'est pas nécessaire que l'auteur ait affirmé des faits qui rendent méprisable la personne visée ; il suffit qu'il ait jeté sur elle le soupçon d'avoir eu un comportement contraire aux règles de l'honneur ( )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 La diffamation suppose une allégation de fait, et non un simple jugement de valeur, qui peut alors constituer une injure au sens de l'art. 177 CP (ATF 117 IV 27 consid. 2c p. 29 ; arrêt du Tribunal fédéral 6S.147/2002 du 21 août 2002 consid. 3.1., non publié à l’ATF 128 IV 260 ).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traitées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2.2.2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(ATF132 IV 112 consid. 3.1 p. 116).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(ATF 132 IV 112 consid. 3.1 p. 116 ; ATF 116 IV 31 consid. 3 p. 38 ; arrêt du Tribunal fédéral 6B_25/2013 du 4 juin 2013 consid. 1.1.1).</w:t>
      </w:r>
    </w:p>
    <w:p>
      <w:r>
        <w:rPr>
          <w:b/>
        </w:rPr>
        <w:t>E. 2.3</w:t>
      </w:r>
    </w:p>
    <w:p>
      <w:r>
        <w:t>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Les infractions en droit suisse , 3 e édition, Berne 2010, vol. II, n. 9 ad art. 180 CP). D'autre part, il faut que la victime ait été effectivement alarmée ou effrayée. Elle doit craindre que le préjudice annoncé se réalise. L'infraction est intentionnelle, le dol éventuel étant suffisant (arrêt du Tribunal fédéral 6B_307/2013 du 13 juin 2013 consid. 5.1).</w:t>
      </w:r>
    </w:p>
    <w:p>
      <w:r>
        <w:rPr>
          <w:b/>
        </w:rPr>
        <w:t>E. 2.4</w:t>
      </w:r>
    </w:p>
    <w:p>
      <w:r>
        <w:t>En affirmant que la place de la partie plaignante était dans un asile d'aliénés, qu'elle avait un sourire de "bobet", qu'elle n'était pas de bonne foi et qu'elle ne faisait que salir ses locataires, le tout dans des termes imagés particulièrement dégradants et dans un climat délétère où les rapports tendus entre propriétaire et locataire n'ont été que le prétexte à des propos désobligeants et à des débordements verbaux, la partie appelante a faite preuve d'un comportement attentatoire à l’honneur de l'intimée. Il a dénigré la partie plaignante non seulement auprès des professionnels de l'immobilier mais encore sur les réseaux sociaux, en dissuadant les locataires intéressés de louer l'appartement de l'intimée et en la faisant passer pour une propriétaire indigne et de mauvaise foi. L'appelant a reconnu la teneur de ses propos diffamatoires, notamment dans les courriels d'octobre 2011. On pourrait certes admettre que les paroles proférées s'inscrivent dans un jugement de valeur mixte, dans la mesure où elles ont comme toile de fond un contentieux locatif dans lequel l'appelant était en droit de faire valoir ses prérogatives quant à l'assainissement du bien loué. Toutefois, l’appelant a échoué à apporter la preuve libératoire de la vérité. Les plaintes pénales qu’il a déposées ont en effet été classées. Les démarches qu’il a initiées n’ont, à teneur du dossier, pas abouti au prononcé d’un verdict de culpabilité. L’attitude de l’appelant ne démontre pas non plus qu’il pensait de bonne foi être victime d’une propriétaire malade, les dénonciations visant la propriétaire paraissant bien plutôt avoir été déposées en réaction à celles de la partie plaignante. En tentant par ailleurs de justifier son attitude par la prétendue inaction de la propriétaire pour remédier à la malfaçon du bien loué ou par des insultes homophobes dont il aurait été victime, l’appelant démontre qu'il n'est pas de bonne foi, puisque cela revient à admettre que le qualificatif de folle accolé à l'intimée n’était pas approprié et de nature à la mépriser, voire même à la discréditer vis-à-vis des locataires potentiels et de ses contacts. Dans ces circonstances, le verdict de culpabilité du chef de diffamation au préjudice de la partie plaignante doit être confirmé.</w:t>
      </w:r>
    </w:p>
    <w:p>
      <w:r>
        <w:rPr>
          <w:b/>
        </w:rPr>
        <w:t>E. 2.5</w:t>
      </w:r>
    </w:p>
    <w:p>
      <w:r>
        <w:t>Il n'est guère douteux que la première condition de l'infraction de menaces est réalisée en l'espèce. Des expressions comme celle consistant à vouloir arracher la tête de l'intimée pourraient être prises comme une galéjade si elles étaient isolées. Tel n'est pas le cas, dans la mesure où l'appelant lui a clairement fait savoir qu'il n'entendait pas se laisser faire, qu'il lui "[ferait] la peau" , qu'il "[lui arracherait] la tête" et qu'elle n'avait qu'à faire attention. Ces propos menaçants ont à l'évidence effrayé l'intimée, qui a pris soin de solliciter l'aide d'une amie pour ne pas être en première ligne dans le contentieux avec son locataire. L'intimée en avait perdu le sommeil et n'en pouvait plus, n'aspirant qu'à vivre en paix. Elle a manifesté sa peur. Les deux conditions posées par l'art. 180CP doivent donc être tenues pour réalisées, sous réserve du fait que l’ordonnance pénale valant acte d’accusation est muette sur la question de l’alarme ou de l’effroi causé à la partie plaignante par les menaces proférées par l’appelant. Une analyse du dossier permet toutefois d'observer que la partie appelante a été appelée à se déterminer sur les effets des menaces et que les débats ont porté sur cette question. L'effroi vécu par l'intimée a été nié en audience de jugement, la partie appelante doutant que l'intimée ait éprouvé quelque crainte. Le sentiment de peur exprimé par l'intimée prouve pourtant le contraire, ce qui conduit la juridiction d'appel à confirmer le jugement sur ce point également.</w:t>
      </w:r>
    </w:p>
    <w:p>
      <w:r>
        <w:rPr>
          <w:b/>
        </w:rPr>
        <w:t>E. 3</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 (ATF 121 IV 202 consid. 2d/aa p. 204 ; 118 IV 342 consid. 2d p. 349).</w:t>
      </w:r>
    </w:p>
    <w:p>
      <w:r>
        <w:rPr>
          <w:b/>
        </w:rPr>
        <w:t>E. 3.2</w:t>
      </w:r>
    </w:p>
    <w:p>
      <w:r>
        <w:t>La peine pécuniaire à laquelle l'appelant a été condamné est adaptée à la gravité des fautes commises, qu'il a réitérées avec une volonté de nuire peu commune. L'appelant ne s'est amendé qu'avec réticence et après moult dénis de sa responsabilité dans son contentieux avec l'intimée, dont il n'a eu de cesse de lui faire porter la faute exclusive. Son absence d'antécédents judiciaires a été dûment prise en compte, à l'instar de sa situation financière relativement précaire pour le calcul du montant du jour-amende, étant précisé que l'appelant n'a en rien contesté le genre de peine auquel il a été condamné ni sa quotité. Le jugement du Tribunal de police sera ainsi entièrement confirmé.</w:t>
      </w:r>
    </w:p>
    <w:p>
      <w:r>
        <w:rPr>
          <w:b/>
        </w:rPr>
        <w:t>E. 4</w:t>
      </w:r>
    </w:p>
    <w:p>
      <w:r>
        <w:t>L'appelant, qui succombe entièrement, supportera les frais de la procédure envers l'État (art. 428 CPP), qui comprennent en l'espèce un émolument de CHF 1'500.– (art. 14 al. 1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