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P/16852/2016 vom 7. November 2018</w:t>
      </w:r>
    </w:p>
    <w:p>
      <w:r>
        <w:t>GE Cour de justice, 2018-11-07, FR</w:t>
      </w:r>
    </w:p>
    <w:p>
      <w:r>
        <w:rPr>
          <w:b/>
        </w:rPr>
        <w:t xml:space="preserve">Quelle: </w:t>
      </w:r>
      <w:r>
        <w:t>https://mcp.opencaselaw.ch/entscheid/ge_gerichte_P_16852_2016</w:t>
      </w:r>
    </w:p>
    <w:p>
      <w:r>
        <w:t>FR: GE_GERICHTE P/16852/2016 du 7 novembre 2018</w:t>
      </w:r>
    </w:p>
    <w:p>
      <w:r>
        <w:t>IT: GE_GERICHTE P/16852/2016 del 7 novembre 2018</w:t>
      </w:r>
    </w:p>
    <w:p>
      <w:pPr>
        <w:pStyle w:val="Heading2"/>
      </w:pPr>
      <w:r>
        <w:t>Regeste</w:t>
      </w:r>
    </w:p>
    <w:p>
      <w:r>
        <w:t>IN DUBIO PRO REO ; DOMMAGES À LA PROPRIÉTÉ(DROIT PÉNAL) ; CONCOURS D'INFRACTIONS ; PEINE D'ENSEMBLE | CP.139.al3; CEDH.6.al2; CP.144.al3; CP.49.al1; CP.47; CP.89.al6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1.2.1 Si l'une des conditions d'exercice de l'action publique fait défaut, ce qui doit être examiné d'office et à tous les stades de la procédure, la poursuite pénale ne peut être engagée, ou bien, si elle a été déclenchée, elle doit s'arrêter. L'autorité doit clore le procès par une décision procédurale, soit une ordonnance de non-entrée en matière (art. 310 al. 1 let. b CPP) ou une ordonnance de classement ( ACPR/54/2013 du 7 février 2013 ; G. PIQUEREZ / A. MACALUSO, Procédure pénale suisse , 3 e éd., 2011, p. 537 n. 1553 et 1555). 1.2.2 En l'espèce, la CPAR ne saurait suivre l'argumentation de l'appelant selon lequel le cas U______ doit être traité de la même manière que Q______ en première instance. Les cas ne sont pas comparables. Il ressort en effet du jugement de première instance que, pour U______, l'appelant a été reconnu coupable de vol par métier (art. 139 ch. 1 et 2 CP), alors même que son acquittement du chef de vol a été prononcé dans le cas Q______ (cf. supra let. A.a. partie "EN FAIT"). Comme le vol est une infraction poursuivie d'office pour laquelle le dépôt d'une plainte n'est pas une condition de poursuite, le cas U______ se différencie du cas Q______. Partant, il a lieu de rejeter l'appel sur ce point.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La culpabilité de l'appelant pour infraction à l'art. 115 al. 1 let. a et b LEtr n'a pas été remise en cause et est ainsi, d'ores et déjà, entrée en force (art. 402 CPP a contrario ). Il en est de même des sept cas de cambriolage non contestés en appel (cf. supra partie "EN FAIT" let. A.d.b.).</w:t>
      </w:r>
    </w:p>
    <w:p>
      <w:r>
        <w:rPr>
          <w:b/>
        </w:rPr>
        <w:t>E. 3</w:t>
      </w:r>
    </w:p>
    <w:p>
      <w:r>
        <w:t>3.1.1 L'art. 139 ch. 1 CP réprime le comportement de celui qui, pour se procurer ou procurer à un tiers un enrichissement illégitime, aura soustrait une chose mobilière appartenant à autrui dans le but de se l'approprier. 3.1.2 L'auteur agit par métier au sens de l'art. 139 ch. 2 CP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Il n'est pas nécessaire que ses agissements constituent sa "principale activité professionnelle" ou qu'il les ait commis dans le cadre de sa profession ou de son entreprise légale. Une activité "accessoire" illicite peut aussi être exercée par métier (ATF 116 IV 319 consid. 4b p. 331). La tentative est absorbée par le délit consommé par métier lorsque l'auteur a commis plusieurs tentatives et des délits consommés (ATF 123 IV 113 consid. 2d). 3.1.3 Il est question de bande au sens de l'art. 139 ch. 3 CP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w:t>
      </w:r>
    </w:p>
    <w:p>
      <w:r>
        <w:rPr>
          <w:b/>
        </w:rPr>
        <w:t>E. 3.2</w:t>
      </w:r>
    </w:p>
    <w:p>
      <w:r>
        <w:t>L'art. 144 al. 1 CP punit, sur plainte, celui qui aura endommagé, détruit ou mis hors d'usage une chose appartenant à autrui ou frappée d'un droit d'usage ou d'usufruit au bénéfice d'autrui. Un dommage supérieur à CHF 10'000.- doit être qualifié de considérable au sens de l'art. 144 al. 3 CP (ATF 136 IV 117 consid. 4.3.1 ; 6B_375/2014 du 28 août 2014 consid. 2.5). En présence de dommages causés à plusieurs choses, appartenant à un ou plusieurs ayants droit, si la vision naturelle des choses et l'intention de l'auteur permettent de retenir une unité d'action, il faudra additionner les préjudices causés afin, le cas échéant, de fonder le dommage considérable (WEISSENBERGER, in Basler Kommentar, Strafrecht II, 3 ème éd. 2013, n. 106 ad art. 144 CP).</w:t>
      </w:r>
    </w:p>
    <w:p>
      <w:r>
        <w:rPr>
          <w:b/>
        </w:rPr>
        <w:t>E. 3.3</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p. 85; 108 IV 33 consid. 5b p. 39). 3.4.1 La Cour de céans tient pour établi que l'appelant a été utilisateur du raccordement +41/1______ malgré ses dénégations. Le numéro de téléphone attribué à l'appelant a été obtenu par divers moyens mais notamment en effectuant des recoupements d'après son surnom ("AA______"), présent dans les répertoires téléphoniques de ses connaissances, dont dans celui de V______, ainsi que par des déclarations de tiers. C'est sans compter que l'appelant a finalement admis au cours des débats d'appel répondre au surnom "AA______". Un autre élément vient corroborer le lien entre l'appelant et le raccordement qui lui est attribué : dans les cas I______, D______ et N______, cambriolages dans lesquels l'appelant a été identifié grâce à son ADN, ce raccordement téléphonique a activé des antennes aux heures et dans les environs directs des cambriolages. Le fait que les bornes les plus proches des domiciles cambriolés n'aient pas systématiquement été les bornes activées n'est pas déterminant. La vérité est qu'on ne maîtrise pas la borne qu'on active. En revanche, il est notoire qu'on n'active pas toujours la borne la plus proche, en fonction des azimuts, de la (sur)charge du réseau et des obstacles sur le parcours. C'est sans compter que rien n'explique la présence de l'appelant dans ces quartiers excentrés, de nuit, alors qu'il vivait en France voisine. 3.4.2 Dans les cas K______ et U______, le cambrioleur a procédé par un modus operandi propre à l'appelant, ainsi que la police l'a décrit (escalade du balcon et bris de la fenêtre du salon par épaulée, pénétration par une porte-fenêtre ouverte). Les deux cambriolages ont eu lieu en soirée, entre 19h15 et 01h13. Dans les deux cas, le raccordement du prévenu a activé des bornes proches des lieux des cambriolages. Ainsi doit-on en conclure que ces deux éléments établissent la présence de l'appelant sur les lieux des cambriolages et, partant, sa culpabilité. 3.4.3 La Cour de céans fait sienne l'argument des juges de première instance concernant la crédibilité des déclarations de V______ quant à la participation de l'appelant au cas E______, ce au-delà de ses déclarations divergentes sur des points accessoires (qui des deux conservait le butin ? qui conduisait la moto ?). Au demeurant, la cessation d'activité du raccordement de l'appelant entre 21h23 et 23h09, soit pendant la tranche horaire où s'est déroulé le cambriolage, est de nature à renforcer la conviction quant à sa présence sur les lieux et sa participation au cambriolage, de la manière décrite par son comparse.</w:t>
      </w:r>
    </w:p>
    <w:p>
      <w:r>
        <w:rPr>
          <w:b/>
        </w:rPr>
        <w:t>E. 3.5</w:t>
      </w:r>
    </w:p>
    <w:p>
      <w:r>
        <w:t>Au vu de ce qui précède, rien ne fait obstacle à la culpabilité de l'appelant pour les trois cas contestés. Les preuves ont été apportées qu'il en était l'auteur, étant observé que l'appelant n'en était pas empêché par une incarcération aux dates visées.</w:t>
      </w:r>
    </w:p>
    <w:p>
      <w:r>
        <w:rPr>
          <w:b/>
        </w:rPr>
        <w:t>E. 3.6</w:t>
      </w:r>
    </w:p>
    <w:p>
      <w:r>
        <w:t>La circonstance aggravante de la bande est réalisée. En se déplaçant ensemble, en se partageant les tâches lors des cambriolages et le butin, en coordonnant leurs actes, notamment par des contacts téléphoniques lors des cambriolages communs, V______ et l'appelant ont collaboré de manière suffisamment organisée et coordonnée pour les cas où ils ont agi en commun. Au vu du nombre de cambriolages, du butin, du revenu réalisé et escompté, ainsi que de l'absence de tout revenu régulier, la circonstance aggravante du métier, qui n'est au demeurant pas contestée en appel, sera également retenue par la Cour de céans.</w:t>
      </w:r>
    </w:p>
    <w:p>
      <w:r>
        <w:rPr>
          <w:b/>
        </w:rPr>
        <w:t>E. 3.7</w:t>
      </w:r>
    </w:p>
    <w:p>
      <w:r>
        <w:t>Le tribunal de première instance a retenu l'aggravante du dommage considérable (art. 144 al. 3 CP) dans les cas K______ et G______ dans la mesure où les dégâts causés auraient dépassé le seuil de CHF 10'000.- retenu par la jurisprudence. En l'espèce, il ressort de l'ensemble des cas retenus à charge que les dommages à la propriété les plus importants sont ceux commis au détriment de G______. Si la victime les a estimés à plus de CHF 10'000.-, son assurance ne l'a remboursée qu'à concurrence d'un peu plus de CHF 8'000.-. Il n'y a de surcroît, pas d'unité d'action avec un autre cambriolage commis dans le même temps. La reconnaissance de l'aggravante de l'art. 144 CP pour le cas K______ résulte d'une confusion avec la valeur du butin, les dommages à la propriété n'ayant pas dépassé CHF 750.-. L'appel sera admis sur ce point, seuls les dommages à la propriété pouvant être mis à la charge de l'appelant.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En outre, les condamnations passées perdent de leur importance avec l'écoulement du temps.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p. 21 ; ATF 117 IV 395 consid. 4 p. 397 ; arrêt du TF 6B_335/2016 du 24 janvier 2017 consid. 3.3.1 et les références ; cf. également arrêts du TF 6B_859/2013 du 2 octobre 2014 consid. 4.2 ; 6B_1066/2013 du 27 février 2014 consid. 5.2.1).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w:t>
      </w:r>
    </w:p>
    <w:p>
      <w:r>
        <w:t>Les nouvelles dispositions sur le droit des sanctions sont entrées en vigueur le 1 er janvier 2018. Cette réforme marque globalement un durcissement. La durée minimale de la peine privative de liberté est désormais de trois jours (art. 40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espèce. L'ancien droit est donc opposable à l'appelant. 4.3.1 En l'espèce, la faute de l'appelant est importante. Il a agi par appât d'un gain facile, de manière égoïste et au mépris du patrimoine et de la sphère privée de nombreuses victimes sans égard aux conséquences patrimoniales et psychologiques de ses actes pour les lésés. Le prévenu a agi à réitérées reprises, selon un modus operandi bien rôdé consistant à pénétrer, en soirée ou de nuit, dans des villas ou des appartements accessibles, en forçant les fenêtres ou portes-fenêtres. Ses actes illicites se sont échelonnés sur plus d'une année. Il n'a pas non plus hésité à pénétrer à plusieurs reprises et sans droit sur le territoire suisse, pour y séjourner en y commettant des délits, ce qui témoigne d'un mépris pour la législation en vigueur. Les antécédents du prévenu démontrent qu'il s'est durablement installé dans la délinquance et qu'il persiste dans son activité illicite pour assurer son train de vie. Seule son arrestation en France a mis fin à ses agissements. Il y a concours d'infractions, facteur d'aggravation de la peine. La collaboration du prévenu a été médiocre, puisqu'il n'a admis une série de cambriolages qu'en raison de la présence de son ADN sur les lieux des infractions. Il a de surcroît passablement fluctué dans ses explications et persisté dans ses dénégations jusqu'à et y compris en appel pour la titularité du raccordement téléphonique le mettant en cause. Sa responsabilité pénale est pleine et entière, car rien ne permet de retenir, au vu de l'organisation et de l'intensité des actes, ainsi que de ses souvenirs parfois très précis, qu'il aurait été sous l'emprise de sa consommation de produits toxiques. Sa situation personnelle est certes précaire mais n'explique pas ses agissements, ce d'autant moins qu'il a pu, même sous statut illicite, travailler ici ou là. La prise de conscience de l'appelant est inexistante. Pour preuve le fait qu'il a déjà été condamné neuf fois en Suisse pour des faits de cambriolage et que les nombreuses peines déjà purgées ne l'ont pas détourné de son parcours délinquant. Ses antécédents sont mauvais, spécifiques et récents. Moins de quatre mois après sa sortie de prison le 24 février 2016, l'appelant a commis un cambriolage en juin 2016, alors qu'il avait entretemps été condamné à Zürich. La révocation de la libération conditionnelle dont l'appelant a bénéficié en 2015 s'impose à juste titre. 4.3.2 L'acquittement de l'appelant de l'aggravante de dommages à la propriété a certes pour effet de diminuer sa culpabilité, mais dans une mesure très réduite, seules deux occurrences étant concernées. Pour retenir une faute importante, la Cour de céans s’est en effet fondée sur des éléments – l'atteinte significative sur les victimes sur le plan psychologique, la réitération d'actes sur un modus operandi bien rôdé, la longue période pénale, l’intensité de la volonté délictuelle et le mobile – qui ne trouvent singulièrement pas leur fondement dans l’aggravante de l'art. 144 CP. C'est sans compter que les infractions à la LEtr y sont totalement étrangères, qu'il s'agisse de la présente procédure ou de celle conduite par le Ministère public de Zürich-Limmat. L’acquittement est aussi sans influence sur l’appréciation des autres éléments aggravants affectant ses actes, soit sa mauvaise collaboration, l’absence de regrets et le concours d’infractions. Compte tenu de l'ensemble de ces éléments, rien ne justifie que la déqualification des dommages à la propriété soit suivie d'un effet sur la peine. C'est le lieu de dire que la peine privative de liberté d'ensemble arrêtée à 3 ans et demi par les premiers juges respecte en tous points les critères posés par l'art. 47 CP et qu'elle doit ainsi être tenue pour adéquate. Elle sera en conséquence confirmée, ce d'autant plus que le principe d'une peine d'ensemble répond aux réquisits de l'art. 89 al. 6 CP.</w:t>
      </w:r>
    </w:p>
    <w:p>
      <w:r>
        <w:rPr>
          <w:b/>
        </w:rPr>
        <w:t>E. 5</w:t>
      </w:r>
    </w:p>
    <w:p>
      <w:r>
        <w:t>L'expulsion prononcée à l'encontre de l'appelant n'est pas contestée. Elle sera confirmée, dans la mesure où elle respecte les principes posés par l'art. 66a CP, aucune des exceptions posées par le deuxième alinéa de cette disposition n'étant réalisée.</w:t>
      </w:r>
    </w:p>
    <w:p>
      <w:r>
        <w:rPr>
          <w:b/>
        </w:rPr>
        <w:t>E. 6</w:t>
      </w:r>
    </w:p>
    <w:p>
      <w:r>
        <w:t>Les motifs ayant conduit les premiers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7</w:t>
      </w:r>
    </w:p>
    <w:p>
      <w:r>
        <w:t>. L'appelant, qui succombe sinon sur un point accessoire, supportera les frais de la procédure d'appel envers l'État (art. 428 CPP) à hauteur de 9/10 ème , lesquels comprennent un émolument de jugement de CHF 3'000.-. En vertu de l'art. 428 al. 3 CPP, l'autorité de recours se prononce également sur les frais fixés par l'autorité inférieure lorsqu'elle rend elle-même une nouvelle décision. Compte tenu de la légère diminution de la culpabilité, il se justifie de réduire les frais de procédure en première instance à charge de l'appelant dans la même mesure, soit de 1/10 ème .</w:t>
      </w:r>
    </w:p>
    <w:p>
      <w:r>
        <w:rPr>
          <w:b/>
        </w:rPr>
        <w:t>E. 8</w:t>
      </w:r>
    </w:p>
    <w:p>
      <w:r>
        <w:t>.1 Les frais imputables à la défense d'office 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dans sa nouvelle mouture, étant précisé que le Conseil d'Etat a édicté un nouveau règlement dont l'entrée en vigueur a été fixée au 1 er octobre 2018. Le nouveau règlement prescrit que l'indemnité, en matière pénale, est calculée selon le tarif horaire de CHF 110.- pour l'activité d'un avocat stagiaire, débours de l'étude inclus ( cf. décision de la Cour des plaintes du Tribunal pénal fédéral BB.2013.127 du 4 décembre 2013 consid. 3/4.2-4.4). En cas d'assujettissement, l'équivalent de la TVA est versé en sus. 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Sont en principe aussi inclus dans le forfait d'autres documents ne nécessitant pas ou peu de motivation ou autre investissement particulier en termes de travail juridique, telle la déclaration d'appel, qui n'a pas à être motivée (décisions de la Cour des plaintes du Tribunal pénal fédéral BB.2014.51 du 21 novembre 2014 consid. 2.1 et BB.2013.165 du 24 janvier 2014 consid. 4.1.3). 8.2.4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Palais de justice est arrêtée à CHF 55.- pour l'avocat-stagiaire, dite rémunération étant allouée d'office par la juridiction d'appel pour les débats devant elle.</w:t>
      </w:r>
    </w:p>
    <w:p>
      <w:r>
        <w:rPr>
          <w:b/>
        </w:rPr>
        <w:t>E. 8.3</w:t>
      </w:r>
    </w:p>
    <w:p>
      <w:r>
        <w:t>En l'occurrence, l'état de frais déposé par le défenseur d'office est adéquat, sous réserve du temps passé à la rédaction de la déclaration d'appel (5 heures). Celle-ci, qui n'a pas à être motivée, est en effet incluse dans le forfait et ne sera dès lors pas rémunérée en tant que poste séparé. En conclusion, l'indemnité sera arrêtée à CHF 1'455.90, correspondant à 10 heures et 45 minutes d'activité au tarif de CHF 110.-/heure, au forfait de 10% (CHF 118.25), au forfait vacation de CHF 55.- admis par la CPAR et à la TVA au taux de 7.7% (CHF 100.15).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