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P/16812/2016 vom 26. Juni 2018</w:t>
      </w:r>
    </w:p>
    <w:p>
      <w:r>
        <w:t>GE Cour de justice, 2018-06-26, FR</w:t>
      </w:r>
    </w:p>
    <w:p>
      <w:r>
        <w:rPr>
          <w:b/>
        </w:rPr>
        <w:t xml:space="preserve">Quelle: </w:t>
      </w:r>
      <w:r>
        <w:t>https://mcp.opencaselaw.ch/entscheid/ge_gerichte_P_16812_2016</w:t>
      </w:r>
    </w:p>
    <w:p>
      <w:r>
        <w:t>FR: GE_GERICHTE P/16812/2016 du 26 juin 2018</w:t>
      </w:r>
    </w:p>
    <w:p>
      <w:r>
        <w:t>IT: GE_GERICHTE P/16812/2016 del 26 giugno 2018</w:t>
      </w:r>
    </w:p>
    <w:p>
      <w:pPr>
        <w:pStyle w:val="Heading2"/>
      </w:pPr>
      <w:r>
        <w:t>Regeste</w:t>
      </w:r>
    </w:p>
    <w:p>
      <w:r>
        <w:t>CP.173 CP</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as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6B_1173/2016 du 7 août 2017 consid. 2.1 ; 6B_71/2016 du 5 avril 2017 consid. 2.1.3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A teneur de l'art. 399 al. 3 let. c CPP, l'appelant doit indiquer dans sa déclaration d'appel les éventuelles réquisitions de preuves. Selon la jurisprudence du Tribunal fédéral, l'appelant peut encore en présenter d'autres pendant la phase des débats, postérieurement à sa déclaration d'appel (ATF 143 IV 214 consid. 5.4 ; arrêts du Tribunal fédéral 6B_345/2017 du 16 janvier 2018 consid. 1.3 ; 6B_542/2016 du 5 mai 2017 consid. 3.4.3).</w:t>
      </w:r>
    </w:p>
    <w:p>
      <w:r>
        <w:rPr>
          <w:b/>
        </w:rPr>
        <w:t>E. 2.2</w:t>
      </w:r>
    </w:p>
    <w:p>
      <w:r>
        <w:t>La justice civile et la justice pénale ont refusé d'entrer en matière sur les accusations portées par l'appelante à l'encontre des intimés, essentiellement en raison de l'absence de preuves suffisantes. Pour ce motif, comme il sera examiné ci-dessous, l'appelante ne peut plus apporter la preuve libératoire de la vérité de ses propos, au risque de violer le droit à la tranquillité de l'ancien prévenu. La CPAR considère que les preuves dont l'administration est demandée poursuivent exclusivement le but de prouver la véracité des allégations tenues. En tout état, l'appelante n'explique pas quels autres éclairages pourraient apporter les documents et témoignages sollicités. Partant, l'administration des preuves évoquées dans le mémoire d'appel ne paraît pas susceptible d'apporter des éléments utiles à l'issue de la procédure d'appel, de sorte qu'il n'y a pas lieu d'y procéder.</w:t>
      </w:r>
    </w:p>
    <w:p>
      <w:r>
        <w:rPr>
          <w:b/>
        </w:rPr>
        <w:t>E. 3</w:t>
      </w:r>
    </w:p>
    <w:p>
      <w:r>
        <w:t>3.1.1.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3.1.2.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et les arrêts cités).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et les références citées). La diffamation suppose une allégation de fait, et non pas un simple jugement de valeur (ATF 137 IV 313 consid. 2.1.2 ; ATF 117 IV 27 consid. 2c).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3.1.3. Est en principe considéré comme tiers toute personne autre que l'auteur et l'objet des propos qui portent atteinte à l'honneur (ATF 86 IV 209 ). 3.1.4. Le fait d'accuser une personne d'avoir commis un crime ou un délit intentionnel entre dans les prévisions de l'art. 173 ch. 1 CP (ATF 132 IV 112 consid. 2.2 ; 118 IV 248 consid. 2b ; arrêt du Tribunal fédéral 6B_138/2008 du 22 janvier 2009 consid. 3.1). 3.1.5. Le caractère intrinsèquement attentatoire à l'honneur du terme " escroc " n'est pas discutable. Pour distinguer l'allégation de fait du jugement de valeur, par exemple s'agissant des expressions " voleur " ou " escroc ", il faut se demander, en fonction des circonstances, si les termes litigieux ont un rapport reconnaissable avec un fait ou sont employés pour exprimer le mépris (arrêt du Tribunal fédéral 6B_512/2017 du 12 février 2018 consid. 3.2 et les références). 3.1.6.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Selon la jurisprudence, celui qui a allégué la commission d'une infraction doit en principe apporter la preuve de la vérité par la condamnation pénale de la personne visée (ATF 116 IV 31 consid. 4 ; 106 IV 115 consid. 2c). Cette condamnation peut être postérieure à l'allégation incriminée (ATF 122 IV 311 consid. 2e). Cette jurisprudence est critiquée en doctrine (cf. ATF 132 IV 112 consid. 4.2). Mais il n'y a en tout cas pas lieu de s'en écarter lorsque l'auteur a articulé ou propagé ses accusations après un jugement d'acquittement ou après une ordonnance de non-entrée en matière motivée par l'insuffisance des charges. L'acquittement et la non-entrée en matière ne pourraient remplir entièrement leur fonction, qui est notamment de garantir le droit à la tranquillité de l'ancien prévenu, si leur bien-fondé pouvait être contesté à titre préjudiciel dans un procès pour atteinte à l'honneur. Il en va ainsi quand bien même l'auteur invoquerait des faits ou moyens de preuves pertinents et nouveaux. Il n'appartient en effet qu'à l'autorité qui a prononcé la non-entrée en matière d'en réexaminer le bien-fondé, aux conditions prévues par la loi. Dès lors, aussi longtemps qu'elle n'a pas été révoquée, l'ordonnance de non-entrée en matière pour insuffisance des charges fait obstacle à la preuve de la vérité dans un procès en diffamation (arrêt du Tribunal fédéral 6B_138/2008 du 22 janvier 2009 consid. 3.3). En revanche, un jugement d'acquittement ou une ordonnance de non-entrée en matière n'empêche pas l'auteur de tenter d'établir sa bonne foi (ATF 106 IV 115 consid. 2e ; 101 IV 292 consid. 5). Dans un arrêt récent, le Tribunal fédéral a retenu, s'agissant de l'art. 173 ch. 2 CP, que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(arrêt du Tribunal fédéral 6B_512/2017 du 12 février 2018, consid. 3.4.1 et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Le juge refusera la preuve libératoire lorsque l'auteur s'est exprimé sans motif suffisant et a agi principalement dans le dessein de dire du mal d'autrui (M. DUPUIS / L. MOREILLON / C. PIGUET / S. BERGER / M. MAZOU / V. RODIGARI, Petit Commentaire du Code pénal , 2e éd., Bâle 2017, n. 35 ad art. 173). 3.1.7. Du point de vue subjectif, il suffit que l'auteur ait eu conscience du caractère attentatoire à l'honneur de ses propos et qu'il les ait néanmoins proférés ; il n'est pas nécessaire qu'il ait eu la volonté de blesser la personne visée (ATF 119 IV 44 consid. 2a et la jurisprudence citée). L'auteur doit également avoir l'intention de divulguer l'information à un tiers (ATF 105 IV 114 consid. 1b).</w:t>
      </w:r>
    </w:p>
    <w:p>
      <w:r>
        <w:rPr>
          <w:b/>
        </w:rPr>
        <w:t>E. 3.2</w:t>
      </w:r>
    </w:p>
    <w:p>
      <w:r>
        <w:t>Se rend coupable d'injure celui qui aura, par la parole, l'écriture, l'image, le geste ou par des voies de fait, attaqué autrui dans son honneur (art. 177 al. 1 CP). L'art. 177 al. 2 CP permet au juge d'exempter l'auteur d'une injure de toute peine si l'injurié a directement provoqué l'injure par une conduite répréhensible.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et les références citées). Traiter quelqu'un de " mongol ", de " bande de salauds " ou de " petit con " constitue des jugements de valeur injurieux (ATF 117 IV 270 consid. 2b ; arrêt du Tribunal fédéral 6B_602/2009 du 29 septembre 2009 consid. 2.3). 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(arrêt du Tribunal fédéral 6B_512/2017 du 12 février 2018, consid. 3.4.1 ; ATF 93 IV 20 consid. 3 ; plus récemment : arrêt 6B_318/2016 du 13 octobre 2016 consid. 3.8.3). 3.3.1. Aux termes de l'art. 186 CP, est punissable, sur plainte, celui qui, d'une manière illicite et contre la volonté de l'ayant-droit, aura pénétré dans une maison, une habitation, dans un local fermé faisant partie d'une maison, dans un espace, cour ou jardin clos et attenant à une maison, ou dans un chantier, ou y sera demeuré au mépris de l'injonction de sortir à lui adressée par un ayant droit. L'infraction de violation de domicile (art. 186 CP) protège la liberté du domicile qui comprend la faculté de régner sur des lieux déterminés sans être troublé et d'y manifester librement sa propre volonté; la liberté du domicile appartient à celui qui a le pouvoir de disposer des lieux, que ce soit en vertu d'un droit réel ou personnel ou encore d'un rapport de droit public (ATF 128 IV 81 consid. 3a). 3.4.1. En l'espèce, l'appelante a admis d'emblée être l'auteure des messages et courriels adressés aux intimés dont il est question dans la présente procédure. Ces messages, courriels et SMS contiennent de graves accusations dirigées contre les intimés, gravité admise par l'appelante. En lien avec la succession de son défunt compagnon, elle les a traités d'escrocs, de tricheurs ainsi que de personnes malhonnêtes et les a expressément accusés d'avoir commis des infractions pénales, notamment des escroqueries, des abus de confiance et de la gestion déloyale. De tels propos portent indubitablement atteinte à l'honneur des intimés les faisant apparaître comme des personnes méprisables. Ils constituent en outre des allégations de fait et non des jugements de valeurs puisqu'ils sont directement en lien avec les événements entourant la succession de feu E______. Lorsque ces déclarations ont pour destinataires uniques les intimés, ils sont constitutifs d'injure au sens de l'art. 177 CP. En revanche, en diffusant certains messages et courriels à des tiers, notamment la Commission du barreau, le département de justice et police, plusieurs avocats genevois, l'appelante s'est rendue coupable de diffamation au sens de l'art. 173 CP, les personnes citées ayant la qualité de tiers au sens de cette disposition. Conformément à la jurisprudence rappelée ci-dessus, le refus d'entrer en matière du Ministère public pour insuffisance de charges, ainsi que le rejet de l'action civile de l'appelante par la Justice de paix font obstacle à la preuve de la vérité dans la présente procédure. Le bien-fondé de ces décisions ne peut être contesté dans la présente procédure qui porte sur des atteintes à l'honneur. Se pose alors la question de savoir si l'appelante disposait, au moment où elle a rédigé les courriels et messages litigieux, des raisons sérieuses de croire à la culpabilité des intimés, étant précisé que les allégations tenues vont au-delà de simples soupçons, puisqu'elle a directement accusé les intimés de la commission d'infractions pénales. A la suite des échecs des procédures entamées devant les instances civiles et pénales, l'appelante a décidé d'obtenir elle-même les informations qu'elle cherchait, que ni la justice, ni l'assistance d'un avocat n'avaient permis d'apporter. Or, elle n'était alors en possession d'aucun document démontrant la véracité de ses accusations. Elle n'a par ailleurs jamais fait mention des documents qui lui avaient été montrés par les intimés suite à ses nombreuses demandes, ce qui laisse à penser que ceux-ci n'incriminaient aucunement les intimés, bien au contraire. Consciente que, malgré ses nombreuses entreprises pour obtenir des preuves, elle ne détenait aucun élément probant, l'appelante ne pouvait croire de bonne foi à l'exactitude des allégations qu'elle proférait. Au vu de ce qui précède, l'appelante n'est pas autorisée à faire tant la preuve de la vérité et échoue dans celle de la bonne foi. En effet, les faits dénoncés ne sont pas établis et l'appelante n'a pas même rendu vraisemblable qu'elle avait de sérieuses raisons de les tenir pour vrais. 3.4.2. L'appelante n'est pas revenue en appel sur la qualification d'injure des propos tenus à l'intimé C______ le 15 décembre 2016, en particulier du mot " pute ". Au cours de la procédure, elle avait affirmé avoir uniquement dit qu'elle comprenait désormais pourquoi son défunt compagnon avait déclaré, par le passé, que les avocats étaient des " putes ". L'intimé B______ a indiqué qu'il ne s'agissait pas d'une simple généralité concernant les avocats, mais d'une insulte dirigée contre son avocat. Au vu de ce qui précède, du déroulement des événements et de la teneur des courriels précédant sa visite dans les locaux de D______ SA, la CPAR retiendra, à l'instar du premier juge, que l'appelante a bel et bien traité l'intimé C______ de " pute ". Il s'agit d'une injure formelle adressée directement au lésé et elle ne pouvait ignorer le caractère attentatoire à l'honneur de ce propos. Aucun élément de la procédure ne permet de penser que l'intimé C______ a directement provoqué les injures formulées par l'appelante, que ce soit celles contenues dans les écrits (cf. consid. 3.4.1) ou celles prononcées dans les locaux de D______ SA. Le fait qu'elle n'ait pas obtenu les réponses qu'elle espérait de B______ et l'intimé C______ ou que ce dernier lui ait demandé de quitter les lieux dans des termes crus (" dégager ") ne s'apparente pas à une conduite répréhensible au sens de l'art. 177 al. 2 CP. 3.4.3. L'appelante a reconnu avoir refusé de quitter les locaux de D______ SA le 15 décembre 2016, malgré la demande expresse de l'intimé B______, ayant droit desdits locaux. Elle s'est ainsi rendue coupable de violation de domicile au sens de l'art. 186 CP. Partant, la CPAR constate que l'appelante a bien commis les faits énoncés dans l'acte d'accusation, constitutifs de diffamation au sens de l'art. 173 ch. 1 CP, d'injure selon l'art. 177 al. 1 CP et de violation de domicile d'après l'art. 186 CP.</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w:t>
      </w:r>
    </w:p>
    <w:p>
      <w:r>
        <w:rPr>
          <w:b/>
        </w:rPr>
        <w:t>E. 4.2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(ATF 138 IV 120 consid. 5.2).</w:t>
      </w:r>
    </w:p>
    <w:p>
      <w:r>
        <w:rPr>
          <w:b/>
        </w:rPr>
        <w:t>E. 4.3</w:t>
      </w:r>
    </w:p>
    <w:p>
      <w:r>
        <w:t>L'appelante ne conteste pas la nature de la peine dans l'hypothèse d'une confirmation du verdict de culpabilité. La fixation de la peine dans le jugement entrepris consacre une application correcte des critères fixés à l'art. 47, en particulier de la gravité de sa faute, de la longueur de la période pénale et de sa situation personnelle. Malgré les charges pesant contre elle dans la présente procédure, l'appelante a persisté dans ses allégations attentatoires à l'honneur à l'encontre des intimés. La CPAR retient qu'une peine de 40 jours-amende sanctionnant l'infraction la plus grave, soit celle de diffamation, augmentée de 30 jours-amende pour tenir compte du concours avec les infractions d'injure et de violation de domicile, soit une peine totale de 70 jours-amende est appropriée. Le montant du jour-amende, de CHF 30.- l'unité, est également adéquat. Le bénéfice du sursis lui est acquis. Le jugement entrepris sera par conséquent entièrement confirmé.</w:t>
      </w:r>
    </w:p>
    <w:p>
      <w:r>
        <w:rPr>
          <w:b/>
        </w:rPr>
        <w:t>E. 5</w:t>
      </w:r>
    </w:p>
    <w:p>
      <w:r>
        <w:t>2. Au vu de ce qui précède, en particulier de la confirmation du verdict de culpabilité, la répartition des frais de première instance ne sera pas revue (art. 428 al. 3 CPP). * * * * *</w:t>
      </w:r>
    </w:p>
    <w:p>
      <w:r>
        <w:rPr>
          <w:b/>
        </w:rPr>
        <w:t>E. 5.1</w:t>
      </w:r>
    </w:p>
    <w:p>
      <w:r>
        <w:t>L'appelante, qui succombe, supportera les frais de la procédure envers l'Etat (art. 428 CPP), qui comprennent un émolument de décision de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