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P/1680/2021 vom 29. Juli 2025</w:t>
      </w:r>
    </w:p>
    <w:p>
      <w:r>
        <w:t>GE Cour de justice, 2025-07-29, FR</w:t>
      </w:r>
    </w:p>
    <w:p>
      <w:r>
        <w:rPr>
          <w:b/>
        </w:rPr>
        <w:t xml:space="preserve">Quelle: </w:t>
      </w:r>
      <w:r>
        <w:t>https://mcp.opencaselaw.ch/entscheid/ge_gerichte_P_1680_2021</w:t>
      </w:r>
    </w:p>
    <w:p>
      <w:r>
        <w:t>FR: GE_GERICHTE P/1680/2021 du 29 juillet 2025</w:t>
      </w:r>
    </w:p>
    <w:p>
      <w:r>
        <w:t>IT: GE_GERICHTE P/1680/2021 del 29 luglio 2025</w:t>
      </w:r>
    </w:p>
    <w:p>
      <w:pPr>
        <w:pStyle w:val="Heading2"/>
      </w:pPr>
      <w:r>
        <w:t>Regeste</w:t>
      </w:r>
    </w:p>
    <w:p>
      <w:r>
        <w:t>VOL D'USAGE;VIOL | LCR.94; CP.190; LStup.19</w:t>
      </w:r>
    </w:p>
    <w:p>
      <w:pPr>
        <w:pStyle w:val="Heading2"/>
      </w:pPr>
      <w:r>
        <w:t>Erwägungen</w:t>
      </w:r>
    </w:p>
    <w:p>
      <w:r>
        <w:rPr>
          <w:b/>
        </w:rPr>
        <w:t>E. 5</w:t>
      </w:r>
    </w:p>
    <w:p>
      <w:r>
        <w:t>Aux termes de l'art. 122 al. 1 CPP, en qualité de partie plaignante, le lésé peut faire valoir des conclusions civiles déduites de l'infraction par adhésion à la procédure pénale. Il en découle que lorsque l'autorité pénale abandonne un pan de l'accusation, le lésé ne peut pas prétendre à l'octroi de conclusions fondées sur les faits laissés de côté (arrêt du Tribunal fédéral 6B_987/2023 du 21 février 2024 consid. 1.2.1). L'appelante doit dès lors être déboutée de ses conclusions civiles.</w:t>
      </w:r>
    </w:p>
    <w:p>
      <w:r>
        <w:rPr>
          <w:b/>
        </w:rPr>
        <w:t>E. 6</w:t>
      </w:r>
    </w:p>
    <w:p>
      <w:r>
        <w:t>Faits constitutifs d'infraction à la LStup :</w:t>
      </w:r>
    </w:p>
    <w:p>
      <w:r>
        <w:rPr>
          <w:b/>
        </w:rPr>
        <w:t>E. 6.1</w:t>
      </w:r>
    </w:p>
    <w:p>
      <w:r>
        <w:t>L'art. 19 al. 1 LStup punit quiconque, sans droit, aliène ou prescrit des stupéfiants, en procure de toute autre manière à un tiers ou en met dans le commerce (let. c) ou possède, détient ou acquiert des stupéfiants ou s'en procure de toute autre manière (let. d). Le prévenu est auteur de l'infraction dès qu'il accomplit l'un des actes visés par cette disposition, une participation à un autre titre, telle une complicité, n'entrant pas en ligne de compte (ATF 133 IV 187 consid. 3.2 ; arrêt du Tribunal fédéral 6B_419/2016 du 10 avril 2017 consid. 2.2). Il importe peu à cet égard qu'il n'ait été qu'un personnage subalterne dans l'organisation, qu'il se soit borné à obéir à un ordre ou qu'il ait agi dans l'intérêt d'autrui. Ce qui compte, c'est qu'il ait accompli seul les actes constitutifs de l'infraction et en soit responsable (ATF 119 IV 266 consid. 3a ; 118 IV 397 consid. 2c ; 106 IV 73 consid. b). Est ainsi auteur celui qui, par exemple, met son logement à disposition d'autrui, afin d'y dissimuler des stupéfiants : il ne fait pas que tolérer d'une manière passive le dépôt de ceux-ci, mais, en raison de son comportement actif, se rend également coupable de possession sans droit de stupéfiants, en tant qu'auteur indépendant (ATF 119 IV 266 consid. 3c).</w:t>
      </w:r>
    </w:p>
    <w:p>
      <w:r>
        <w:rPr>
          <w:b/>
        </w:rPr>
        <w:t>E. 6.2</w:t>
      </w:r>
    </w:p>
    <w:p>
      <w:r>
        <w:t>En l'occurrence, pas moins de quatre personnes ont désigné l'appelant comme ayant été leur dealer, dont à tout le moins une, J______, n'avait aucun motif de l'accuser faussement, puisque dans le même temps, il témoignait spontanément en sa faveur. J______ n'avait aucune raison de détenir le numéro de téléphone de l'appelant, si ce n'est pour pouvoir le contacter dans le cadre d'achat de stupéfiants. L'affirmation du second selon lequel ils n'avaient aucun lien, ni ne s'étaient jamais rencontrés, n'est dès lors pas crédible. Une boulette de cocaïne d'un gramme a été retrouvée dans le studio de l'appelant, dissimulée dans une chaussure. Le fait que l'ADN retrouvé sur l'extérieur de celle-ci corresponde au profil de son ami N______, et non au sien, n'exclut pas que dite boulette lui appartienne, étant rappelé qu'une autre trace d'ADN, non interprétable, a aussi été retrouvée, ou que le prévenu peut ne pas en avoir déposé. L'appelant a reconnu que ses chaussures constituaient une cachette qu'il utilisait fréquemment, notamment pour dissimuler son argent à la vue de ses amis. Surtout, l'on ne voit pas l'intérêt de de N______, invité à passer uniquement quelques heures chez l'appelant, à amener une boulette pour la cacher dans une chaussure de son hôte. Ces éléments sont suffisants pour retenir que l'appelant s'est rendu coupable de détention et vente de cocaïne. Sa condamnation de ce chef sera dès lors confirmée et l'appel rejeté sur ce point.</w:t>
      </w:r>
    </w:p>
    <w:p>
      <w:r>
        <w:rPr>
          <w:b/>
        </w:rPr>
        <w:t>E. 6.3</w:t>
      </w:r>
    </w:p>
    <w:p>
      <w:r>
        <w:t>L'appelant réclame la restitution des sommes de CHF 450.- (cachée dans une chaussette, elle-même glissée dans une chaussure) et de CHF 1'800.- (qui se trouvait dans sa veste), dont il allègue qu'elles proviendraient de paris sportifs. Il a certes fourni à l'appui de cette affirmation un certain nombre de reçus, démontrant qu'il obtient régulièrement des gains. Il n'existe dès lors aucune certitude que l'argent retrouvé chez lui proviendrait de la revente de drogue. L'origine des fonds peut toutefois demeurer indécise. En effet, il est établi que l'appelant a régulièrement vendu de la cocaïne, à tout le moins à I______, A______ et J______. Il ressort de leurs déclarations concordantes que la première lui a acheté un gramme par semaine, mais pas toutes les semaines, durant six mois (soit 26 semaines, du 1 er août 2020 au 24 janvier 2021). À partir de septembre 2020, cette quantité a été portée à deux grammes par semaine lorsque les deux femmes étaient ensemble, à laquelle il faut ajouter la dizaine de transactions évoquée par J______. Au prix de CHF 80.- le gramme, l'appelant a donc manifestement retiré de cette activité un revenu supérieur à la somme de CHF 2'250.- saisie. Or, l'art. 71 al. 1 CP permet, lorsque les valeurs patrimoniales à confisquer ne sont plus disponibles – par exemple parce que le prévenu les a dépensées – d'ordonner leur remplacement par une créance compensatrice de l'État d'un montant équivalent. Le but de cette mesure est d'éviter que celui qui a disposé des objets ou valeurs à confisquer soit privilégié par rapport à celui qui les a conservés (arrêt du Tribunal fédéral 1B_185/2007 du 30 novembre 2007 consid. 10.1). Il s'ensuit que, quand bien même les montants saisis ne proviendraient pas directement d'une infraction à la LStup, leur séquestre devrait être maintenu en garantie de dite créance compensatrice (art. 263 al. 1 let. e CPP). La demande de restitution sera, partant, rejetée et la confiscation des espèces litigieuse confirmée.</w:t>
      </w:r>
    </w:p>
    <w:p>
      <w:r>
        <w:rPr>
          <w:b/>
        </w:rPr>
        <w:t>E. 7</w:t>
      </w:r>
    </w:p>
    <w:p>
      <w:r>
        <w:t>7.1. Les infractions de vol d'usage (art. 94 al. 1 let. a LCR), de conduite d'un véhicule automobile sans être titulaire du permis de conduire requis (art. 95 al. 1 let. a LCR), ainsi que les infractions à la LStup pour lesquelles l'appelant a été reconnu coupable (art. 19 al. 1 let. c et d LStup) sont passibles d'une peine privative de liberté de trois ans au plus ou d'une peine pécuniaire. Le séjour illégal est quant à lui sanctionné d'une peine privative de liberté d'un an au plus ou d'une peine pécuniaire (art. 115 al. 1 let. b LEI).</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7.3</w:t>
      </w:r>
    </w:p>
    <w:p>
      <w:r>
        <w:t>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7.4</w:t>
      </w:r>
    </w:p>
    <w:p>
      <w:r>
        <w:t>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7.5</w:t>
      </w:r>
    </w:p>
    <w:p>
      <w:r>
        <w:t>Dans le cas présent, l'appelant a commis de nouvelles infractions moins de six mois après sa précédente condamnation. Sa situation personnelle, dont son absence de statut administratif en Suisse, hormis pour l'infraction à la LEI, ne joue aucun rôle dans les agissements qui lui sont reprochés. Ses mobiles sont donc purement égoïstes. Les infractions à la LCR, en particulier, dénotent une absence totale de considération pour les tiers et une grande désinvolture vis-à-vis de la loi. Il a vendu de la drogue, non pas poussé par la nécessité, mais par pur appât du gain, puisqu'il admet lui-même gagner de quoi assurer sa subsistance, grâce à une activité de plonge dans un restaurant et à ses paris sportifs. Ses agissements délictueux, à tout le moins s'agissant des infractions à la LStup et à la LEI, se sont poursuivis sur une longue période. Sa collaboration ne peut être considérée que comme mauvaise, dès lors qu'hormis le séjour illégal, il a persisté à nier toute infraction. Il n'a fait preuve d'aucun regret, ni d'aucun repentir, aucune prise de conscience, même embryonnaire, ne pouvant lui être reconnue. Il y a concours d'infractions et il a des antécédents, dont une partie spécifiques. Dans ces conditions, c'est à juste titre que les premiers juges ont considéré qu'un signal fort s'imposait et que seule une peine privative de liberté entrait en ligne de compte. L'infraction à la LStup doit être considérée comme la plus grave, puisqu'elle a perduré sur près de trois ans et a généré des gains non négligeables, compte tenu des quantités que I______, A______ et J______ ont admis avoir acheté au prévenu. Elle commande à elle seule le prononcé d'une peine privative de liberté de six mois. Cette peine sera aggravée de deux mois pour réprimer le séjour illégal (peine hypothétique : trois mois), d'un mois pour le vol d'usage et d'un mois pour la conduite sans permis (peine hypothétique pour chacune de ces infractions : deux mois). Ainsi, la peine privative de liberté de 10 mois prononcée par les premiers juges apparaît adéquate pour sanctionner les agissements de l'appelant, et le jugement entrepris sera confirmé sur ce point. La détention avant jugement, soit 48 jours, sera déduite (art. 51 CP). Le sursis, dont les conditions sont au demeurant réalisées, est acquis à l'appelant (art. 391 al. 2 CPP).</w:t>
      </w:r>
    </w:p>
    <w:p>
      <w:r>
        <w:rPr>
          <w:b/>
        </w:rPr>
        <w:t>E. 8</w:t>
      </w:r>
    </w:p>
    <w:p>
      <w:r>
        <w:t>8.1. Selon l'art. 429 al. 1 let. c CPP, le prévenu a droit à une réparation du tort moral subi en raison d'une atteinte particulièrement grave à sa personnalité, notamment en cas de privation de liberté.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arrêt du Tribunal fédéral 6B_1374/2021 du 18 janvier 2023 consid. 3.1). La gravité objective de l'atteinte doit être ressentie par le prévenu comme une souffrance morale. Pour apprécier cette souffrance, le juge se fondera sur la réaction de l'homme moyen dans un cas pareil, présentant les mêmes circonstances (ATF 128 IV 53 consid. 7a). Il incombe au prévenu de faire état des circonstances qui font qu'il a ressenti l'atteinte comme étant subjectivement grave (ATF 120 II 97 consid. 2b). La fixation du tort moral procède d'une appréciation des circonstances et l'autorité compétente bénéficie d'un large pouvoir d'appréciation en la matière (arrêt du Tribunal fédéral 6B_928/2014 du 10 mars 2016 consid. 3.1 ; ATF 130 III 699 consid. 5.1).</w:t>
      </w:r>
    </w:p>
    <w:p>
      <w:r>
        <w:rPr>
          <w:b/>
        </w:rPr>
        <w:t>E. 8.2</w:t>
      </w:r>
    </w:p>
    <w:p>
      <w:r>
        <w:t>En l'occurrence, la confirmation de la condamnation de l'appelant à une peine privative de liberté de 10 mois exclut toute indemnité pour la détention subie, y compris au titre d'une supposée atteinte particulière à sa personnalité, au demeurant non établie. L'appel sera, partant, rejeté et le jugement entrepris confirmé sur ce point également.</w:t>
      </w:r>
    </w:p>
    <w:p>
      <w:r>
        <w:rPr>
          <w:b/>
        </w:rPr>
        <w:t>E. 9.1</w:t>
      </w:r>
    </w:p>
    <w:p>
      <w:r>
        <w:t>Les parties appelantes, qui succombent, supporteront, à raison de la moitié chacune, les frais de la procédure envers l'État (art. 428 CPP), comprenant un émolument de CHF 2'000.- (art. 14 let. e du règlement fixant le tarif des frais en matière pénale du 22 décembre 2010 [RTFMP - E 4 10.03]).</w:t>
      </w:r>
    </w:p>
    <w:p>
      <w:r>
        <w:rPr>
          <w:b/>
        </w:rPr>
        <w:t>E. 9.2</w:t>
      </w:r>
    </w:p>
    <w:p>
      <w:r>
        <w:t>Le Tribunal correctionnel a fixé un émolument de jugement de CHF 1'500.- et, après les annonces d'appel le contraignant à motiver sa décision par écrit (art. 82 al. 1 CPP), un émolument complémentaire de CHF 3'000.-. Ces montants ne sont pas critiquables, se situant dans les limites fixées par l'art. 10 al. 1 let. e et al. 2 RTFMP. Ils seront dès lors confirmés, avec la précision que la charge en est répartie à raison de 50% pour chacune des parties appelantes.</w:t>
      </w:r>
    </w:p>
    <w:p>
      <w:r>
        <w:rPr>
          <w:b/>
        </w:rPr>
        <w:t>E. 10</w:t>
      </w:r>
    </w:p>
    <w:p>
      <w:r>
        <w:t>10.1.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110.- pour un avocat stagiaire, CHF 150.- pour un collaborateur et CHF 200.- pour un chef d'étude, débours de l'étude inclus. En cas d'assujettissement, l'équivalent de la TVA est versé en sus.</w:t>
      </w:r>
    </w:p>
    <w:p>
      <w:r>
        <w:rPr>
          <w:b/>
        </w:rPr>
        <w:t>E. 10.2</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10.3</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10.4</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10.5</w:t>
      </w:r>
    </w:p>
    <w:p>
      <w:r>
        <w:t>En l'occurrence, l'état de frais déposé par M e B______, conseil juridique gratuit de A______, appelle les remarques suivantes : La durée totale des entretiens avec la cliente, soit 1 heure et 40 minutes, au tarif horaire de CHF 150.-, est adéquate. La prise de connaissance du jugement du TCO et de la déclaration d'appel de C______, de même que l'établissement d'un bordereau de pièces, sont compris dans le forfait et n'ont pas à être indemnisés en sus. Le temps de préparation de l'audience, de plus de 14 heures, paraît excessif, l'argumentation étant similaire à celle développée devant les premiers juges. Il n'y a par ailleurs pas lieu d'indemniser les 20 minutes facturées par la cheffe d'étude, laquelle n'était pas présente à l'audience et dont on ne voit pas en quoi l'intervention à ce stade était indispensable à la défense des intérêts de l'appelante. Ce temps sera dès lors ramené à 10 heures. Il convient d'y ajouter l'audience d'appel, d'une durée de 3 heures et 50 minutes, ainsi qu'une vacation à CHF 75.-. En conclusion, la rémunération sera arrêtée à CHF 2'853.85 correspondant à 15 heures et 30 minutes d'activité au tarif horaire de CHF 150.- (CHF 2'325.-) et à une vacation (CHF 75.-), plus la majoration forfaitaire de 10%, vu l'ampleur de l'activité déployée depuis le début de la procédure (CHF 240.-) et l'équivalent de la TVA au taux de 8.1% (CHF 213.85).</w:t>
      </w:r>
    </w:p>
    <w:p>
      <w:r>
        <w:rPr>
          <w:b/>
        </w:rPr>
        <w:t>E. 10.6</w:t>
      </w:r>
    </w:p>
    <w:p>
      <w:r>
        <w:t>L'état de frais déposé par M e E______, défenseur d'office de C______, appelle les remarques suivantes : L'entretien avec le client (75 minutes) doit être admis. La préparation de l'audience d'appel à concurrence de 17 heures et 30 minutes sera également admise, la différence avec la quotité admise pour A______ se justifiant par les autres complexes de fait plaidés. Il n'appartient en revanche pas à l'État d'assumer le choix de l'avocat d'office de déléguer la procédure à son stagiaire au stade de l'appel, ni le temps consacré à sa formation. Il s'ensuit que les heures consacrées à la lecture complète de la procédure ne seront pas indemnisées, la cause était supposée connue, puisque suivie depuis le début de la procédure préliminaire, pas plus que l'entretien de 45 minutes entre le chef d'étude et son stagiaire. En conclusion, la rémunération sera arrêtée à CHF 3'019.30, correspondant à 22 heures heures et 35 minutes d'activité, audience comprise, au tarif horaire de CHF 110.- (CHF  2'484.15) et à une vacation (CHF 55.-), plus la majoration forfaitaire de 10% (CHF 253.90) et l'équivalent de la TVA au taux de 8.1% (CHF 226.25).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