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P/1680/2019 vom 14. Juni 2023</w:t>
      </w:r>
    </w:p>
    <w:p>
      <w:r>
        <w:t>GE Cour de justice, 2023-06-14, FR</w:t>
      </w:r>
    </w:p>
    <w:p>
      <w:r>
        <w:rPr>
          <w:b/>
        </w:rPr>
        <w:t xml:space="preserve">Quelle: </w:t>
      </w:r>
      <w:r>
        <w:t>https://mcp.opencaselaw.ch/entscheid/ge_gerichte_P_1680_2019</w:t>
      </w:r>
    </w:p>
    <w:p>
      <w:r>
        <w:t>FR: GE_GERICHTE P/1680/2019 du 14 juin 2023</w:t>
      </w:r>
    </w:p>
    <w:p>
      <w:r>
        <w:t>IT: GE_GERICHTE P/1680/2019 del 14 giugno 2023</w:t>
      </w:r>
    </w:p>
    <w:p>
      <w:pPr>
        <w:pStyle w:val="Heading2"/>
      </w:pPr>
      <w:r>
        <w:t>Regeste</w:t>
      </w:r>
    </w:p>
    <w:p>
      <w:r>
        <w:t>LÉSION CORPORELLE SIMPLE;IN DUBIO PRO REO;VIOLENCE DOMESTIQUE | CP.123.al1; CP.123.al2.ch4</w:t>
      </w:r>
    </w:p>
    <w:p>
      <w:pPr>
        <w:pStyle w:val="Heading2"/>
      </w:pPr>
      <w:r>
        <w:t>Erwägungen</w:t>
      </w:r>
    </w:p>
    <w:p>
      <w:r>
        <w:rPr>
          <w:b/>
        </w:rPr>
        <w:t>E. 21</w:t>
      </w:r>
    </w:p>
    <w:p>
      <w:r>
        <w:t>décembre 2022. Il était en pleurs à l'évocation de ces faits et était choqué par sa condamnation. Il présentait un état dépressif modéré. f.d. Selon le psychiatre qui suivait A______ depuis le mois d'avril 2023, le patient présentait un état anxio-dépressif d'intensité moyenne à sévère lié à l'injustice vécue concernant des accusations de violences conjugales. C. a. Aux débats d'appel, A______ persiste dans ses conclusions. Il regrettait d'avoir giflé son épouse en décembre 2017. S'agissant de l'état de santé psychique de celle-ci, il avait seulement noté une fatigue. Il avait peut-être eu tort de refuser de s'exprimer sur les faits survenus en France, qui n'étaient pas pertinents car très anciens. Il a présenté ses excuses les plus profondes pour les messages insultants qu'il lui avait adressés. Par la voix de son conseil, il souligne que l'intimée n'avait évoqué les menaces et les injures qu'à partir de janvier 2019, soit bien après leur séparation, survenue en décembre 2017. Ce n'était que le 10 avril 2019, que la plaignante avait enfin parlé de l'épisode d'octobre 2017, ne cessant d'évoluer sur l'origine de leur dispute et ne parvenant pas à se remémorer le contexte de son retour au domicile. Elle avait également tardé à remettre le certificat médical y relatif et avait produit, le jour de l'audience de jugement, une attestation rédigée par sa supérieure de l'époque sur des faits qui remontaient à plus de sept ans, dont la crédibilité était pourtant discutable. A l'inverse, il s'était montré constant, rejetant toutes les accusations, hormis la gifle, geste qu'il regrettait. Son état psychique reflétait son sentiment d'injustice. b. C______, absente aux débats d'appel et représentée par son conseil, conclut au rejet de l'appel et à la confirmation du jugement. Elle avait attendu longtemps avant de porter plainte car elle pensait oublier les violences mais il avait continué à la tourmenter après leur séparation. Son discours avait été cohérent et constant, sans aucune exagération. Ses quelques variations s'expliquaient par plus de 23 ans de violences répétées. Alors que la procédure d'appel la replongeait dans de lourdes souffrances, le prévenu continuait de nier l'évidence, allant jusqu'à prendre la place de la victime. c. Le MP conclut au rejet de l'appel et à la confirmation du jugement. D. A______ est né le ______ 1968, de nationalité française et titulaire d'un permis C. Il travaille comme chauffeur pour L______ et perçoit à ce titre un salaire mensuel net de CHF 6'900.-, allocation familiale non comprise. Son loyer mensuel s'élève à CHF 2'060.-. Il dit avoir de nombreuses dettes, dont un crédit immobilier, un crédit à la consommation et des poursuites. Il n'a pas d'antécédent judiciaire. E. Le défenseur d'office de A______ dépose un état de frais pour la procédure d'appel, facturant, sous des libellés divers, 10h30 d'activité de chef d'étude (soit 6h30 jusqu'au 31 décembre 2023 et 4h00 à partir du 1 er janvier 2024), hors débats d'appel, lesquels ont duré 1h30, dont 2h30 pour l'étude du jugement motivé, ainsi que pour la rédaction de la déclaration d'appel et d'un courrier motivé à la CPAR, activités fournies en 2023. Il a été indemnisé à hauteur de 21h55 d'activité en première instance. La conseil juridique gratuite de C______ jusqu'au 6 février 2024, représentée à l'audience par un confrère, dépose un état de frais pour la procédure d'appel, facturant, sous des libellés divers, 4h45 d'activité de chefs d'étude, hors débats d'appel. EN DROIT : 1. 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 arrêt du Tribunal fédéral 6B_1306/2017 du 17 mai 2018 consid. 2.1.1 ; M. NIGGLI / M. HEER / H. WIPRÄCHTIGER [éds], Strafprozessordnung / Jugendstrafprozessordnung, Basler Kommentar StPO/JStPO,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2.1.3.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(arrêt du Tribunal fédéral 6B_38/2021 du 14 février 2022 consid. 3.3). 2.2. À teneur de l'art. 123 ch. 1 CP, quiconque, intentionnellement, fait subir à une personne une autre atteinte à l’intégrité corporelle ou à la santé est puni sur plainte d’une peine privative de liberté de trois ans au plus ou d’une peine pécuniaire. 2.2.1.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À titre d'exemples, la jurisprudence cite l'administration d'injections, la tonsure totale et tout acte qui provoque un état maladif, l'aggrave ou en retarde la guérison, comme les blessures, les meurtrissures, les écorchures ou les griffures provoquées par des coups, des heurts ou d'autres causes du même genre,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2.2.2. L'auteur est poursuivi d'office s'il est le conjoint de la victime et que l'atteinte est commise durant le mariage (art. 123 ch. 2 al. 4 CP). Cette poursuite d'office trouve sa justification dans le fait que par trop souvent les victimes de violences conjugales ne déposent pas de plainte pénale ou la retirent par peur de subir de nouveaux assauts, par culpabilité ou honte, pour des motifs de dépendance sociale, émotionnelle et économique, ou encore par espoir (Révision de l'art. 123 CP, rapport de la Commission des affaires juridiques du Conseil national, FF 2003 1750, 1753). Les victimes de violences conjugales hésitent souvent à dénoncer ces violences ou à porter plainte, un élément qui est à la fois une conséquence de la vulnérabilité particulière de victimes de violences domestiques et une (potentielle) source de vulnérabilités additionnelles. Cette réticence a été expliquée par les effets psychologiques des violences domestiques, résultant régulièrement en une perte d’autonomie et d’estime de soi ou un sentiment de honte, qui est renforcé par des attitudes sociétales tendant à banaliser ce type de violences (N. ZIMMERMANN, La notion de vulnérabilité dans la jurisprudence de la Cour européenne des droits de l'homme : contours et utilité d'un concept en vogue, Genève 2022, § 808 p. 461). Suivant une étude (M. KILLIAS / M. SIMONIN / J. DE PUY, Violence experienced by women in Switzerland over their lifespan, Berne 2005, p. 83 ss), moins d'un tiers des femmes victimes de violences de la part de leur partenaire s'adressent à la police, un quart s'en ouvrant à leur médecin. Une telle passivité peut s'expliquer, entre autres motifs, par la peur de représailles, la honte, la culpabilité, le manque d'estime de soi, l'espoir d'une amélioration, la crainte de se heurter à l'incrédulité ou à la banalisation, etc. (arrêt du Tribunal fédéral 1P_24/2005 du 31 mars 2005 consid. 3.1 ; C. MEYER, Limites de l'aide aux femmes victimes de violences conjugales ou de traite, in : Aide aux victimes en Suisse, Berne 2004, p. 63 ss). 2.3. En l'espèce, les versions des parties s'opposent diamétralement, si bien qu'il convient d'apprécier et confronter la crédibilité des dires de chacune. 2.3.1. Les explications de l'intimée paraissent en elles-mêmes crédibles. Elle s'est montrée claire et constante devant les autorités pénales, ne variant ou n'omettant que des détails périphériques, tels que l'origine de la dispute avec son époux, s'il était présent au domicile à son retour ou encore à quel endroit se trouvait leur fils G______. Ces contradictions et lacunes s'expliquent aisément par la brièveté et l'ancienneté des faits, mais également par leur récurrence durant toute la durée de leur mariage, l'appelant admettant certaines violences physiques et verbales. Cela renseigne également sur les raisons qui ont poussé la plaignante à ne pas mentionner cet épisode dans sa plainte du 28 janvier 2019 et sur sa méprise de date, l'intéressée ayant été vraisemblablement encore bouleversée par les violences subies et focalisée sur les récentes menaces et insultes décrites dans son courrier. A la mise en cause constante de l'appelant s'ajoute la mesure des propos de l'intimée, puisqu'elle n'a pas cherché à accabler son époux en indiquant un chiffre exagérément élevé quant au nombre de violences subies pendant leur union et a admis l'avoir également insulté à une reprise. Elle n'a porté plainte que plusieurs mois après leur séparation et a également demandé à être dispensée de comparaître à l'audience d'appel, attitude qui concorde mal avec le mobile avancé par le prévenu, à savoir que la procédure pénale servirait celle en divorce, antérieure. S'agissant du fait qu'elle a attendu longtemps avant de se confier et de déposer plainte pénale, on relèvera que cela correspond à un phénomène courant chez les victimes de violences conjugales (voir supra ch. 2.2.2) et ne saurait remettre en cause la crédibilité générale de leurs déclarations. La plaignante a en effet exposé de manière cohérente et constante qu'elle s'était abstenue par espoir, mais avant tout par isolement, crainte des représailles et honte, une de ses psychologues ayant d'ailleurs noté une perte de confiance et une forte baisse de son estime personnelle. Ces réticences, ainsi que la peur de perdre son emploi expliquent encore les raisons pour lesquelles, à l'époque, elle avait choisi de dissimiler l'origine réelle de sa blessure à l'arcade sourcilière, ce qui est attesté par son ancienne supérieure. Enfin, le dossier médical de l'intimée, qui a entamé un suivi dès le départ de son époux du domicile conjugal, révèle un état de terreur (avec des mécanismes de reviviscence et de dissociation), une anxiété sociale (peur des hommes), des troubles du sommeil, une hyperactivité, de la fatigue et, plus généralement, un état dépressif et de stress post-traumatique, parfaitement compatibles et au demeurant usuels dans ce type d'affaires. Ses différents thérapeutes ont d'ailleurs mis en lien cet état avec les violences relatées. Il résulte de l'analyse qui précède que l'intimée jouit d'une très forte crédibilité, nonobstant les quelques incohérences précédemment relevées. 2.3.2. Dans la mesure ou l'appelant nie globalement les faits, sa propre crédibilité est plus difficile à déterminer. Plusieurs éléments interpellent, au premier rang desquels figurent ses dénégations initiales au sujet d'éventuelles violences physiques et verbales sur son épouse, qu'il a fini par admettre en appel seulement, alors même qu'il avait été confronté aux preuves matérielles. Par ailleurs, si ces faits ne font pas l'objet de la présente procédure, ils mettent en lumière un contexte de violences conjugales exercées, à tout le moins, durant 18 ans par le prévenu et renforcent encore la crédibilité des propos de la victime, contrairement à ceux de l'appelant, qui ne reflètent qu'une adaptation aux éléments du dossier. En outre, il a varié sur les circonstances de la blessure de son épouse, indiquant d'abord que celle-ci lui avait relaté s'être cogné la tête contre une porte au travail, déclaration qui ressemble étrangement à celle faite pour justifier les faits ayant conduit à l'hospitalisation de la plaignante en 2000 et à sa condamnation, puis en sortant de l'immeuble. C'est le lieu de souligner que son emploi du temps le jour de l'accident ne corrobore ni ne remet en cause ses déclarations. Outre le fait que son épouse l'aurait accusé à tort pour asseoir la procédure de divorce, restant néanmoins muet sur les conséquences de la procédure pénale dans le cadre de l'action civile, il n'a donné aucune explication crédible au fait que la partie plaignante l'aurait faussement accusé, tout comme s'agissant de l'état de santé psychique de cette dernière, qu'il a seulement décrite comme " fatiguée ". Enfin, si la Cour ne remet pas en cause sa dépression attestée par ses thérapeutes, il n'est pas impossible qu'elle soit en lien avec les conséquences de ses propres agissements, qui ont conduit à la présente procédure. A tout le moins, cela n'établit nullement son innocence, ni même ne la crédibilise. En définitive, la crédibilité de l'appelant est mauvaise et ne saurait l'emporter sur celle de la victime, vu l'examen qui précède. 2.3.3. En conclusion, il est retenu que les faits reprochés par l'intimée, tels que résumés dans l'acte d'accusation, sont établis. 2.3.4. A raison, l'appelant ne conteste pas la qualification juridique retenue de lésions corporelles simples. Il ne fait en effet nul doute que le fait de pousser intentionnellement contre la porte la tête de la victime, laquelle a été blessée à l'arcade sourcilière avec un hématome à l'œil, comme cela ressort du résumé de consultation du 11 octobre 2017 et de la déclaration d'accident du lendemain, mais également des déclarations du prévenu lui-même, est constitutif de lésions corporelles simples (art. 123 ch. 1 et 2 al. 4 CP), de sorte que l'appel sera rejeté sur ce point et le jugement confirmé. 3. 3.1. Les faits reprochés à l'appelant sont antérieurs à l'entrée en vigueur du nouveau droit des sanctions. Dans la mesure où les principes régissant la fixation de la peine postulent le prononcé d'une peine pécuniaire, la peine sera fixée selon le nouveau droit, qui lui est plus favorable (art. 2 al. 2 CP), vu que le quantum de la peine menace est de 180 jours-amende (art. 34 al. 1 CP) et non plus de 360 jours-amende (arrêt du Tribunal fédéral 6B_712/2018 du 18 décembre 2019 consid. 3.1).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3.2.2. La peine pécuniaire ne peut excéder 180 jours-amende, le juge fixant leur nombre en fonction de la culpabilité de l'auteur (art. 34 al. 1 CP). Un jour-amende est de CHF 30.- au moins et de CHF 3'000.- au plus (al. 2). 3.3. En l'espèce, la faute de l'appelant n'est pas négligeable. Il s'en est pris à l'intégrité corporelle de son épouse. Ses mobiles sont inconnus, puisqu'il les tait. Son action semble découler de son impulsivité et de son désir d'imposer, par la violence et la peur, sa volonté. Il continue de nier être l'auteur des faits reprochés, n'hésitant pas à jeter l'opprobre sur la plaignante pour tenter de convaincre, sans succès, des motivations de cette dernière à l'accuser à tort et à se positionner lui-même en victime. Il n'y a ainsi aucune prise de conscience. Son absence d'antécédents est un facteur neutre dans la fixation de la peine. Sa responsabilité pénale est entière. Aucune circonstance atténuante n'est réalisée, ni plaidée. L'appelant ne saurait être mis au bénéfice de l'art. 48 let. e CP malgré l'ancienneté des faits, dans la mesure où il ne peut être retenu qu'il " s'est bien comporté dans l'intervalle ", ayant admis une gifle en 2017 et des insultes en 2018 à l'égard de son épouse, ces comportements incorrects étant suffisants pour exclure l'application de cette circonstance atténuante (ATF 132 IV 1 consid. 6.3 ; arrêt du Tribunal fédéral 6S.117/2000 du 11 mai 2000 consid. 1.c). Sa situation personnelle ne justifie en aucun cas ses actes. L'appelant ne conteste pas, à juste titre, au-delà de l'acquittement plaidé, la quotité de la peine pécuniaire de 50 jours-amende, qui sanctionne adéquatement l'infraction de lésions corporelles simples et sera, partant, confirmée. Il en ira de même du montant du jour-amende, fixé à CHF 90.- par le premier juge. Le sursis prononcé est acquis à l'appelant (art. 42 al. 1 CP et 391 al. 2 CPP). Le délai d'épreuve, arrêté à trois ans, n'est pas critiquable. L'appel est partant rejeté et le jugement confirmé. 4. 4.1.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en particulier en réparation de son tort moral (art. 47 du code des obligations [CO]) ou en réparation de son dommage matériel (art. 41 CO). 4.2. Vu le verdict de culpabilité de l'appelant, d'une part, et compte tenu du fait que celui-ci n'a pas formulé de grief particulier, au-delà de l'acquittement plaidé, en lien avec les conclusions civiles, d'autre part, le tort moral en CHF 2'000.-, qui apparaît adéquat et proportionné à la gravité de la lésion corporelle et de la souffrance subies, sera confirmé, tout comme le dommage matériel en CHF 1'292.40. 5. 5.1. L'appelant, qui succombe, supportera les frais de la procédure envers l'État (art. 428 CPP), qui comportent un émolument de décision de CHF 2'000.-. Compte tenu de l'issue de l'appel, il n'y a pas lieu de revoir la répartition des frais de la procédure préliminaire et de première instance (art. 427 al. 2 et 428 al. 3 a contrario CPP). 6. Etant donné sa condamnation, les conclusions en indemnisation de l'appelant seront rejetées (art. 429 al. 1 let. c CPP a contrario). 7. 7.1.1.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de CHF 200.- pour un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 dite rémunération étant allouée d'office par la juridiction d'appel pour les débats devant elle. 7.2.1. À l'aune de ces principes, il convient de retrancher de l'état de frais du défenseur d'office de l'appelant, le temps consacré à l'étude du jugement motivé, ainsi qu'à la rédaction de la déclaration d'appel et d'un courrier motivé à la CPAR (2h30 au total), activités couvertes par le forfait. Pour le surplus, les heures consacrées à la durée de et au déplacement à l'audience d'appel seront ajoutées. La rémunération de M e B______ sera partant arrêtée à CHF 2'363.90 (CHF 947.80 + CHF 1'416.10) correspondant à 4h00 d'activité en 2023 au tarif de CHF 200.-/heure (CHF 800.-) plus la majoration forfaitaire de 10% (CHF 80.-) et l'équivalent de la TVA au taux de 7.7% en CHF 67.80, ainsi que 5h30 d'activité en 2024 au tarif de CHF 200.-/heure (CHF 1'100.-) plus la majoration forfaitaire de 10% (CHF 110.-), un déplacement à CHF 100.- et l'équivalent de la TVA au taux de 8.1% en CHF 106.10. 7.2.2. Considéré globalement, l'état de frais produit par M e M______, précédente conseil juridique gratuite de C______, satisfait les exigences légales et jurisprudentielles rappelées ci-dessus. Il convient cependant de le compléter du temps et déplacement afférents à l'audience d'appel. Sa rémunération sera partant arrêtée à CHF 1'729.60 correspondant à 6h15 d'activité en 2024 au tarif de CHF 200.‑/heure (CHF 1'250.-), plus la majoration forfaitaire de 20% (CHF 250.-), un déplacement à CHF 100.- et l'équivalent de la TVA au taux de 8.1% en CHF 129.60.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