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P/16799/2017 vom 25. Juni 2018</w:t>
      </w:r>
    </w:p>
    <w:p>
      <w:r>
        <w:t>GE Cour de justice, 2018-06-25, FR</w:t>
      </w:r>
    </w:p>
    <w:p>
      <w:r>
        <w:rPr>
          <w:b/>
        </w:rPr>
        <w:t xml:space="preserve">Quelle: </w:t>
      </w:r>
      <w:r>
        <w:t>https://mcp.opencaselaw.ch/entscheid/ge_gerichte_P_16799_2017</w:t>
      </w:r>
    </w:p>
    <w:p>
      <w:r>
        <w:t>FR: GE_GERICHTE P/16799/2017 du 25 juin 2018</w:t>
      </w:r>
    </w:p>
    <w:p>
      <w:r>
        <w:t>IT: GE_GERICHTE P/16799/2017 del 25 giugno 2018</w:t>
      </w:r>
    </w:p>
    <w:p>
      <w:pPr>
        <w:pStyle w:val="Heading2"/>
      </w:pPr>
      <w:r>
        <w:t>Regeste</w:t>
      </w:r>
    </w:p>
    <w:p>
      <w:r>
        <w:t>LOI FÉDÉRALE SUR LES STUPÉFIANTS ET LES SUBSTANCES PSYCHOTROPES ; DÉTENTION DE STUPÉFIANTS | LStup.19.al1.letd; LStup.19.al2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dispose à cet égard d'un large pouvoir dans l'appréciation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19 al. 1 LStup punit notamment celui qui, sans droit, aliène ou prescrit des stupéfiants, en procure de toute autre manière à un tiers ou en met dans le commerce (let. c), possède, détient ou acquiert des stupéfiants ou s'en procure de toute autre manière (let. d) ou prend des mesures aux fins de commettre une des infractions visées aux let. a à f (let. g). Ainsi que l'a rappelé le Tribunal correctionnel, la possession mentionnée à l'art. 19 al. 1 let. d LStup n'est pas un état, mais un comportement causal, à savoir le fait de créer ou maintenir la situation illégale. Cette disposition vise tous les cas où l'on ne peut pas déterminer dans quelles circonstances et par qui la drogue a été acquise, mais où l'on a constaté que l'auteur avait la possibilité réelle d'y accéder et la connaissance du lieu où elle se trouvait. Tel est en particulier le cas d'une personne mettant à disposition d'un tiers un lieu pour la cacher, par exemple un appartement (ATF 119 IV 266 consid. 3c p. 269).</w:t>
      </w:r>
    </w:p>
    <w:p>
      <w:r>
        <w:rPr>
          <w:b/>
        </w:rPr>
        <w:t>E. 2.3</w:t>
      </w:r>
    </w:p>
    <w:p>
      <w:r>
        <w:t>En l'occurrence, l'appelant conteste avoir détenu la drogue retrouvée dans l'appartement 1______, respectivement en avoir remis à C______. Il ressort toutefois du dossier qu'il a été le seul interlocuteur de D______ lors de la conclusion du contrat de sous-location de l'appartement, dans lequel la drogue a été retrouvée. D______ a par ailleurs indiqué que c'était l'appelant qui lui versait en mains propres, tous les 15 du mois, le montant du loyer, ce que l'intéressé a dans un premier temps confirmé, avant de modifier sa version devant le Ministère public. C______, qui n'avait sur ce point aucune raison de mentir, a pour sa part d'emblée déclaré que la clé de l'appartement lui avait été remise par l'appelant, ce que ce dernier n'a nié qu'au stade de l'appel, en alléguant qu'elle se trouvait sous le paillasson. Or, cette explication est peu convaincante, vu l'arme et la quantité importante de drogue dissimulées dans l'armoire, cet emplacement étant l'un des premiers auquel penserait une personne malintentionnée souhaitant pénétrer dans les lieux pour y dérober des valeurs. La présence de tiers partageant l'appartement n'est pas non plus établie, C______ n'ayant vu personne durant le laps de temps durant lequel il l'a occupé. A cela s'ajoute que l'appelant a reconnu avoir logé à la rue 1______ à l'occasion de ses précédents séjours à Genève et y avoir conditionné entre 30 et 40 sachets d'héroïne. Il a également admis, après l'avoir nié, avoir su que de la drogue s'y trouvait, reconnaissant, entre autres, avoir mis les sachets qu'il avait conditionnés dans le sac transparent sur lequel son ADN a été retrouvé, sans se souvenir s'il en avait fait de même avec le caillou d'héroïne et le pacson d'aluminium, ce qui ne suffit pas à exclure qu'il l'ait fait. Par ailleurs, l'affirmation selon laquelle l'appelant n'aurait pas remis à C______ l'héroïne destinée à être revendue aux toxicomanes n'est pas crédible. Dans la mesure où il l'a accompagné durant son voyage en Suisse, l'a installé dans l'appartement, était chargé de faire son apprentissage de " dealer " durant 4-5 jours, lui téléphonait pour lui signaler la venue d'acheteurs, lui avait remis un téléphone à cette fin et se voyait remettre les recettes en fin de journée, l'appelant devait en effet nécessairement également avoir une maîtrise sur le stock de son " poulain ". Or, l'appelant a admis avoir été le seul interlocuteur de C______ à Genève. Il a par ailleurs, de manière constante, affirmé durant l'instruction de la cause que la drogue qu'il devait vendre lui avait été remise en mains propres par l'appelant. Les déclarations contraires faites sur ce point devant le Tribunal correctionnel, selon laquelle les sachets se trouvaient déjà sur la table lors de leur arrivée dans l'appartement, sont dénuées de toute crédibilité, dès lors que l'appelant n'en a jamais fait mention, alors que la présence d'un amoncellement de minigrips sur ce meuble aurait nécessairement dû attirer son attention, et que la quantité en était de toute façon insuffisante pour assurer l'approvisionnement de C______ durant les jours d'activité prévus. Il y a d'ailleurs lieu de relever que lors des débats de première instance, l'appelant a dans un premier temps admis, par la voix de son conseil, la remise de 75 gr. d'héroïne à ce dernier, avant de se raviser. L'on ne peut en outre rien tirer du fait que l'appelant se soit rendu à l'appartement à la suite de l'appel de D______, rien n'établissant que ce dernier l'aurait informé, à cette occasion, de la présence de la police, outre le fait qu'il apparaît s'être alors dissimulé, selon le rapport de police. Compte tenu de ces éléments, c'est à juste titre que le Tribunal correctionnel a retenu que l'appelant exerçait une maîtrise sur la drogue dissimulée dans l'appartement remplissant les éléments constitutifs de l'art. 19 al. 1 let. d LStup et avait remis à C______ l'héroïne qu'il devait revendre, correspondant aux 15 sachets minigrips, à 5 gr. le sachet, que ce dernier admettait avoir écoulés et aux 52,6 gr. se trouvant encore dans son sac à dos au moment de son arrestation (art. 19 al. 1 let. c LStup). La culpabilité de l'appelant sera ainsi confirmée.</w:t>
      </w:r>
    </w:p>
    <w:p>
      <w:r>
        <w:rPr>
          <w:b/>
        </w:rPr>
        <w:t>E. 3</w:t>
      </w:r>
    </w:p>
    <w:p>
      <w:r>
        <w:t>3.1.1. L'art. 19 al. 1 LStup punit d'une peine privative de liberté de trois ans au plus ou d'une peine pécuniaire les comportements décrits aux let. a à g de cette même disposition. La peine privative de liberté est d'un an au moins, cette sanction pouvant être cumulée avec une peine pécuniaire, si l'auteur savait ou ne pouvait ignorer que l'infraction pouvait, directement ou indirectement, mettre en danger la santé de nombreuses personnes (art. 19 al. 2 let. a Stup), ce qui est notamment le cas lorsque la quantité d'héroïne pure en question est de plus de 12 gr. (ATF 122 IV 299 consid. 2b p. 301) 3.1.2. A teneur de l'art. 115 al. 1 let. a et b LEtr, est passible d'une peine privative de liberté d'un an au plus ou d'une peine pécuniaire quiconque contrevient aux dispositions sur l'entrée en Suisse (let. a), de même que quiconque séjourne illégalement en Suisse, notamment après l'expiration de la durée du séjour non soumis à autorisation ou du séjour autorisé (let. b).</w:t>
      </w:r>
    </w:p>
    <w:p>
      <w:r>
        <w:rPr>
          <w:b/>
        </w:rPr>
        <w:t>E. 3.2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Le critère essentiel est celui de la faute. Ainsi, même si le juge doit éviter les sanctions qui pourraient détourner l'intéressé de l'évolution souhaitable (ATF 128 IV 73 consid. 4 p. 79 ; 127 IV 97 consid. 3 p. 101), cet aspect de prévention spéciale ne permet que des corrections marginales, la peine devant toujours rester proportionnée à la faute (arrêt du Tribunal fédéral 6B_362/2008 du 14 juillet 2008 consid. 3.2). En matière de trafic de stupéfiants, il y a lieu de tenir compte, plus spécialement, des circonstances suivantes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 Si l'auteur sait que la drogue est particulièrement pure, sa culpabilité sera plus grande ; en revanche, sa culpabilité sera moindre s'il sait qu'elle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w:t>
      </w:r>
    </w:p>
    <w:p>
      <w:r>
        <w:rPr>
          <w:b/>
        </w:rPr>
        <w:t>E. 3.4</w:t>
      </w:r>
    </w:p>
    <w:p>
      <w:r>
        <w:t>Dans le cas présent, la faute de l'appelant est lourde. Il est venu à de réitérées reprises à Genève, durant un laps de temps relativement court, dans l'unique but de s'y livrer au trafic de stupéfiants. Il a, dans ce cadre, déployé des activités variées, entre autres en vendant, conditionnant et conservant la drogue dans un appartement loué par ses soins, en organisant le voyage et en accompagnant C______ à Genève afin de prendre sa relève, en l'y formant à la vente et en collectant l'argent ainsi gagné afin de le remettre à son supérieur. Il ne s'est exposé qu'à des risques limités, puisqu'il a à chaque fois logé dans un lieu séparé de C______, qu'il ne s'est jamais déplacé pour montrer les lieux de vente à ce dernier, se contentant de lui montrer des schémas et de lui fournir des adresses, et que D______, qui lui sous-louait l'appartement de la rue 1______, ignorait son nom et ne pouvait le joindre que par téléphone. Il ne saurait ainsi être assimilé à un simple ouvrier, son rôle excédant à l'évidence celui d'un petit revendeur. Il a mis en danger la santé de nombreuses personnes, ainsi qu'en témoignent la quantité et la pureté d'héroïne retrouvée dans l'appartement qu'il sous-louait, réalisant le cas grave visé par l'art. 19 al. 2 let. a LStup, ce qui n'est du reste pas contesté. Son mobile était égoïste, l'intéressé ayant agi par convenance personnelle et par appât du gain facile, puisqu'il admet lui-même qu'après des études gymnasiales, il a travaillé, notamment comme ______ et ______, jusqu'à quelques jours avant son départ pour la Suisse, un poste lui étant assuré à son retour. A près de 30 ans, son âge ne peut plus être considéré comme justifiant une mansuétude particulière. Sans avoir été mauvaise, sa collaboration à l'enquête n'a pas été particulièrement bonne, puisque l'appelant a tout d'abord nié intégralement les faits, pour finir par en reconnaître certains, tout en minimisant son rôle et ses actes et en modifiant ses versions au fur et à mesure de l'avancement de la procédure. Les regrets qu'il a exprimés paraissent ainsi largement liés à son arrestation plutôt qu'à la commission des infractions qui lui sont reprochées. La responsabilité de l'appelant est entière et aucune des circonstances atténuantes prévues par l'art. 48 CP n'est réalisée ni d'ailleurs plaidée. L'entrée et le séjour illégal n'étant pas contestés, il y a concours d'infractions. La peine privative de liberté de quatre ans, sous déduction de la détention avant jugement subie, prononcée par les premiers juges, consacre ainsi une application correcte des critères de l'art. 47 CP et sera confirmée, ce qui exclut l'octroi d'un sursis (art. 42 CP) ou d'un sursis partiel (art. 43 CP).</w:t>
      </w:r>
    </w:p>
    <w:p>
      <w:r>
        <w:rPr>
          <w:b/>
        </w:rPr>
        <w:t>E. 4</w:t>
      </w:r>
    </w:p>
    <w:p>
      <w:r>
        <w:t>L'appelant n'a pas remis en cause la mesure d'expulsion pour une durée de cinq ans prononcée par le Tribunal correctionnel, dont la CPAR fait sienne la motivation, cette mesure, justifiée, sera confirmée (art. 82 al. 4 CPP ; ATF 141 IV 244 consid. 1.2.3 p. 246).</w:t>
      </w:r>
    </w:p>
    <w:p>
      <w:r>
        <w:rPr>
          <w:b/>
        </w:rPr>
        <w:t>E. 5</w:t>
      </w:r>
    </w:p>
    <w:p>
      <w:r>
        <w:t>Mal fondé, l'appel est par conséquent entièrement rejeté.</w:t>
      </w:r>
    </w:p>
    <w:p>
      <w:r>
        <w:rPr>
          <w:b/>
        </w:rPr>
        <w:t>E. 6</w:t>
      </w:r>
    </w:p>
    <w:p>
      <w:r>
        <w:t>Les motifs ayant conduit le Tribunal correctionnel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d'appel envers l'Etat, comprenant un émolument de CHF 2'500.- (art. 428 CPP et art. 14 al. 1 let. e du Règlement fixant le tarif des frais en matière pénale du 22 décembre 2010 [RTFMP ; E 4 10.03]).</w:t>
      </w:r>
    </w:p>
    <w:p>
      <w:r>
        <w:rPr>
          <w:b/>
        </w:rPr>
        <w:t>E. 8</w:t>
      </w:r>
    </w:p>
    <w:p>
      <w:r>
        <w:t>La décision sur les frais préjugeant de la question de l'indemnisation, une indemnité au sens de l'art. 429 al. 1 CPP est exclue (ATF 137 IV 352 consid. 2.4.2 p. 357 ; arrêt du Tribunal fédéral 6B_620/2016 du 17 mai 2017 consid. 2.2.2).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