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P/16790/2022 vom 14. Februar 2024</w:t>
      </w:r>
    </w:p>
    <w:p>
      <w:r>
        <w:t>GE Cour de justice, 2024-02-14, FR</w:t>
      </w:r>
    </w:p>
    <w:p>
      <w:r>
        <w:rPr>
          <w:b/>
        </w:rPr>
        <w:t xml:space="preserve">Quelle: </w:t>
      </w:r>
      <w:r>
        <w:t>https://mcp.opencaselaw.ch/entscheid/ge_gerichte_P_16790_2022</w:t>
      </w:r>
    </w:p>
    <w:p>
      <w:r>
        <w:t>FR: GE_GERICHTE P/16790/2022 du 14 février 2024</w:t>
      </w:r>
    </w:p>
    <w:p>
      <w:r>
        <w:t>IT: GE_GERICHTE P/16790/2022 del 14 febbraio 2024</w:t>
      </w:r>
    </w:p>
    <w:p>
      <w:pPr>
        <w:pStyle w:val="Heading2"/>
      </w:pPr>
      <w:r>
        <w:t>Regeste</w:t>
      </w:r>
    </w:p>
    <w:p>
      <w:r>
        <w:t>DÉCISION D'IRRECEVABILITÉ;INFRACTIONS CONTRE LE PATRIMOINE;SECRET D'AFFAIRES;DISPOSITIONS PÉNALES DE LA LCD | CPP.310; CP.162; LCD.23; LCD.3; LCD.4; LCD.5; LCD.6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raison individuelle C______, partie à la procédure (art. 104 al. 1 let. b CPP), qui a un intérêt juridiquement protégé à la modification ou à l'annulation de la décision querellée (art. 382 al. 1 CPP). En revanche, la qualité pour recourir de A______ et B______, en leur nom propre, et D______ Sàrl, apparaît douteuse. Cela étant, cette question peut rester ouverte, le recours s'avérant infondé.</w:t>
      </w:r>
    </w:p>
    <w:p>
      <w:r>
        <w:rPr>
          <w:b/>
        </w:rPr>
        <w:t>E. 2</w:t>
      </w:r>
    </w:p>
    <w:p>
      <w:r>
        <w:t>Les recourants reprochent à leur ancienne vendeuse d'avoir révélé les techniques spécifiques qu'ils lui avaient apprises, ainsi que leur fichier clients et leurs fournisseurs, à son nouvel employeur situé en face et concurrent direct; et, à celui-ci d'avoir utilisé ces informations à son profit. Ils reprochent en outre à H______ de les avoir dénigrés auprès de la clientèle et des commerçants du centre commercial, ainsi que d'avoir invité un des fournisseurs de son précédent employeur à rompre son contrat avec lui pour en faire bénéficier son nouvel employeur. Les recourants allèguent encore des actes de concurrences déloyales au sens de l'art. 23 LCD, sans toutefois spécifier quels articles mentionnés dans cette disposition seraient violés. On peine ainsi à voir quels comportements dénoncés pourraient être constitutifs d'agissements déloyaux au sens des art. 4 et 5 LCD, soit dans le cadre de l'incitation à violer ou résilier un contrat ou de l'exploitation d'une prestation d'autrui.</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w:t>
      </w:r>
    </w:p>
    <w:p>
      <w:r>
        <w:rPr>
          <w:b/>
        </w:rPr>
        <w:t>E. 2.3</w:t>
      </w:r>
    </w:p>
    <w:p>
      <w:r>
        <w:t>L'art. 162 CP punit, sur plainte, quiconque révèle un secret de fabrication ou un secret commercial qu'il est tenu de garder en vertu d'une obligation légale ou contractuelle, et quiconque utilise cette révélation à son profit ou à celui d'un tiers.</w:t>
      </w:r>
    </w:p>
    <w:p>
      <w:r>
        <w:rPr>
          <w:b/>
        </w:rPr>
        <w:t>E. 2.3.1</w:t>
      </w:r>
    </w:p>
    <w:p>
      <w:r>
        <w:t>Le secret commercial englobe les informations qui peuvent jouer un rôle sur le résultat commercial, notamment les fournisseurs et les clients, l'organisation interne – à l'exclusion toutefois d'un cartel illicite –, les stratégies commerciales et les plans d'entreprise, les listes de clients et autres relations commerciales (ATF 142 II 268 consid. 5.2.4; ATF 109 Ib 47 consid. 5c; 103 IV 283 consid. 2b).</w:t>
      </w:r>
    </w:p>
    <w:p>
      <w:r>
        <w:rPr>
          <w:b/>
        </w:rPr>
        <w:t>E. 2.3.2</w:t>
      </w:r>
    </w:p>
    <w:p>
      <w:r>
        <w:t>. 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 L. MOREILLON / N. QUELOZ (éds), Commentaire romand, Code pénal II, vol. II, Partie spéciale : art. 111-392 CP, Bâle 2017, n. 23 ss ad art. 162).</w:t>
      </w:r>
    </w:p>
    <w:p>
      <w:r>
        <w:rPr>
          <w:b/>
        </w:rPr>
        <w:t>E. 2.3.3</w:t>
      </w:r>
    </w:p>
    <w:p>
      <w:r>
        <w:t>L’article 162 al. 2 CP appréhende quant à lui le fait, pour le tiers à qui le secret est directement ou indirectement communiqué, d’utiliser, en sa faveur ou en faveur d’un tiers, une révélation caractérisant un comportement typique et illicite réalisé par une personne astreinte au secret au sens de l’alinéa premier. " Utiliser " signifie en l’espèce exploiter le secret de façon à en tirer un avantage pécuniaire, sans qu’un résultat précis sur ce point ne soit nécessaire (M. DUPUIS / L. MOREILLON / C. PIGUET / S. BERGER / M. MAZOU / V. RODIGARI (éds), op cit., n. 11 ad art. 162). 2.4.1. L'art. 23 LCD permet, sur plainte, le prononcé de sanctions pénales contre des actes de concurrence déloyale définis aux art. 3 à 6 de cette loi. Les dispositions pénales de la LCD doivent être interprétées de manière restrictive (arrêt du Tribunal fédéral 6B_156/2012 du 11 octobre 2012). Pour qu'il y ait concurrence déloyale au sens de l'art. 23 LCD,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 consid. 2c). 2.4.2. Selon l’art. 3 LCD, agit de façon déloyale celui qui, notamment, dénigre autrui, ses marchandises, ses œuvres, ses prestations, ses prix ou ses affaires par des allégations inexactes, fallacieuses ou inutilement blessantes (let. a); ou prend des mesures qui sont de nature à faire naître une confusion avec les marchandises, les œuvres, les prestations ou les affaires d'autrui (let. d). 2.4.2.1.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(ATF 122 IV 33 , JdT 1998 IV 27, consid 2c). 2.4.2.2. Le comportement visé par l'art. 3 al. 1 let. d LCD suppose qu'un risque de confusion soit créé de la perspective du public entre deux prestations (V. MARTENET / P. PICHONNAZ (éds), Commentaire romand de la Loi contre la concurrence déloyale, Bâle 2017, n. 11 ad art. 3 al. 1 let. d). L'imitation, tout comme l'exigence qu'un risque de confusion soit créé, impliquent par définition qu'une comparaison doit être effectuée avec une autre prestation, laquelle est délivrée par un autre concurrent. D'une part, la prestation imitée est déjà offerte sur le marché, en sorte qu'elle dispose d'une priorité factuelle. Celle-ci n'est cependant pas suffisante pour que l'imitation soit pertinente sous l'angle de la concurrence déloyale; cette priorité factuelle doit se doubler d'une priorité juridiquement protégée, à savoir reposer sur une cause qui légitime juridiquement la protection de la priorité. D'autre part, la prestation imitée doit présenter certains traits qui permettent de l'individualiser, à savoir de la rapporter à un concurrent particulier; c'est-à-dire que la prestation doit présenter des signes distinctifs, ceux-là même qui font l'objet de la protection légale et lui confèrent son originalité (V. MARTENET / P. PICHONNAZ (éds), op. cit., n. 13 ad art. 3 al. 1 let. d). Le résultat du comportement visé consiste dans un risque de confusion. L'appréciation est objective: le comportement doit être objectivement apte à générer la confusion. Le fait qu'une confusion se soit effectivement produite est sans pertinence pour admettre ou nier le risque de confusion (ATF 118 II 322 consid. 3 JdT 1993 I 357); la confusion peut en effet avoir d'autres causes ou résulter du hasard. L'autorité judiciaire dispose d'une marge d'appréciation considérable (V. MARTENET / P. PICHONNAZ (éds), op. cit., n. 41 art. 3 al. 1 let.d). 2.4.3. Aux termes de l'art. 4 let. a LCD, agit de façon déloyale aussi celui qui, notamment, incite un client à rompre un contrat en vue d'en conclure un autre avec lui. On ne peut toutefois parler de rupture de contrat au sens de cette disposition que lorsqu'un contrat est violé. La résiliation d'un contrat, qui est conforme aux clauses contractuelles, ne constitue donc pas une violation du contrat, mais au contraire, l'utilisation d'un droit prévu par le contrat (ATF 133 III 431 consid. 4.5 ; 129 II 497 consid. 6.5.6). 2.4.4. Agit de façon déloyale celui qui, notamment, exploite ou divulgue des secrets de fabrication ou d'affaires qu'il a surpris ou dont il a eu indûment connaissance d'une autre manière (art. 6 LCD).</w:t>
      </w:r>
    </w:p>
    <w:p>
      <w:r>
        <w:rPr>
          <w:b/>
        </w:rPr>
        <w:t>E. 2.5</w:t>
      </w:r>
    </w:p>
    <w:p>
      <w:r>
        <w:t>À titre liminaire, il sied de relever que les deux boutiques concernées commercialisent le même type de produits – notamment des bijoux et des pierres –, qu'elles se situent dans le même centre commercial et l'une en face de l'autre. Elles sont ainsi en concurrence directe, étant précisé que E______ SA est active depuis 2014, soit bien avant le licenciement de H______. Pour que l'art. 162 CP soit enfreint, faut-il encore que les informations divulguées constituent un secret. À cet égard, la seule spécificité avancée par les recourants est la vente de pierres à des fins de lithothérapie. Or, non seulement cette pratique ne constitue pas un secret de fabrication mais encore les recourants ne détiennent aucune exclusivité sur celle-ci. Les recourants affirment également utiliser un bol tibétain. Toutefois, ils n'allèguent aucunement détenir un quelconque monopole sur cet article ou ce procédé. Ainsi, même à retenir que E______ SA serait active dans la lithothérapie depuis l'engagement de H______, on ne décèle aucune violation de l'art. 162 CP. Les autres divulgations reprochées à H______ ne contreviennent pas non plus à l'art. 162 CP, dans la mesure où, sans autre spécification quant au savoir-faire, à la technique ou même au procédé qui auraient été révélés par la prénommée à son nouvel employeur, on ne peut valablement retenir que ceux-ci seraient constitutifs d'un secret protégé pénalement. A fortiori , à cet égard, E______ SA ne peut donc pas non plus avoir enfreint l'art. 162 al. 2 CP. Pour ce qui est de l'appropriation des fichiers clientèle et fournisseurs par l'ancienne employée, au vu des dénégations de cette dernière et de l'absence d'élément de preuve objectif permettant de corroborer la version des recourants, il n'existe pas de soupçon suffisant à son égard, étant précisé qu'elle avait un statut d'employée de vente. Quand bien même elle aurait eu accès à des données clients ou fournisseurs, rien n'indique qu'elle en ait fait usage pour les inviter à rompre leurs relations commerciales avec les recourants au profit de son nouvel employeur. S'agissant plus particulièrement de la marque I______, les éléments au dossier – échanges de courriels entre les recourants et le représentant de la marque et les déclarations de H______ – mettent en évidence que I______ ne souhaitait plus travailler avec les recourants, en raison d'un désaccord, et que la marque s'était adressée à E______ SA pour diffuser ses produits. Partant, le fait que H______ avait déjà rencontré le représentant de la marque I______ du temps où elle travaillait pour les recourants, n'est pas de nature, non plus, à laisser supposer un comportement déloyal ou contraire à l'art. 162 CP. Partant, les comportements dénoncés, faute d'élément constitutif objectif, ne réalisent pas l'infraction de l'art. 162 CP ni, a fortiori , celle de l'art. 6 LCD. S'agissant de cette dernière disposition, il est incontestable que H______ a eu connaissance de la marchandise vendue par les recourants durant ses nombreuses années à leur service dans le cadre normal et usuel des relations de travail, et non de manière indue; les éléments constitutifs de l'art. 6 LCD ne sont donc manifestement pas non plus remplis à cet égard (cf. dans ce sens ATF 133 III 431 consid. 4.5, JdT 2008 I 34). En ce qui concerne l'art. 3 LCD, il n'est aucunement établi que la mise en cause aurait dénigré la marchandise des recourants auprès de la clientèle et/ou des autres commerçants du centre commercial. Quant à la confusion dénoncée en lien avec le changement d'image de E______ SA, comme expliqué par les recourants, celui-ci serait intervenu en 2020, de sorte que la plainte, déposée en octobre 2022, est tardive. À titre superfétatoire, il est relevé que, dans les circonstances sus-décrites, une telle transformation, à savoir l'ouverture complète de la boutique sur le centre commercial et l'installation de vitrines amovibles sur roulettes, même à considérer qu'elle aurait été inspirée par les recourants, ne suffit pas à créer une confusion au sens de l'art. 3 al. 1 let. d LCD. En effet, de tels aménagements ne sont pas propres aux recourants et les caractéristiques de la marque C______, tels le style, les couleurs de la boutique et l'enseigne, sont visiblement différents de ceux de E______ SA (photographies de présentation des boutiques sur le site internet du centre commercial : https://G______.ch/?s=C______ et https://G______.ch/?s=E______). Que certains clients aient demandé aux recourants si E______ SA était une seconde boutique n'y change rien. Enfin, au vu de ce qui précède, c'est à juste titre que le Ministère public a considéré que la question de la clause de prohibition de faire concurrence signée par H______ relevait, tout au plus, du droit civil et doit être tranchée par les autorités concernées. Son éventuelle violation par l'intéressée ne suffit pas d'emblée à fonder une prévention suffisante d'infraction à la LCD, faute d'un comportement déloyal spécifique. Partant, les comportements dénoncés ne tombent pas non plus sous le coup de l'interdiction de la concurrence déloyale au sens de la LCD.</w:t>
      </w:r>
    </w:p>
    <w:p>
      <w:r>
        <w:rPr>
          <w:b/>
        </w:rPr>
        <w:t>E. 3</w:t>
      </w:r>
    </w:p>
    <w:p>
      <w:r>
        <w:t>Aucun acte d'enquête n'est propre à modifier ce constat, en particulier l'audition des animateurs de E______ SA. Le grief de la violation du droit à une enquête effective, et partant du droit d'être entendu, tombe ainsi à faux.</w:t>
      </w:r>
    </w:p>
    <w:p>
      <w:r>
        <w:rPr>
          <w:b/>
        </w:rPr>
        <w:t>E. 4</w:t>
      </w:r>
    </w:p>
    <w:p>
      <w:r>
        <w:t>Justifiée, l'ordonnance querellée sera donc confirmée et le recours rejeté.</w:t>
      </w:r>
    </w:p>
    <w:p>
      <w:r>
        <w:rPr>
          <w:b/>
        </w:rPr>
        <w:t>E. 5</w:t>
      </w:r>
    </w:p>
    <w:p>
      <w:r>
        <w:t>Les recourants, qui succombent, supporteront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