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P/16787/2022 vom 16. Januar 2025</w:t>
      </w:r>
    </w:p>
    <w:p>
      <w:r>
        <w:t>GE Cour de justice, 2025-01-16, FR</w:t>
      </w:r>
    </w:p>
    <w:p>
      <w:r>
        <w:rPr>
          <w:b/>
        </w:rPr>
        <w:t xml:space="preserve">Quelle: </w:t>
      </w:r>
      <w:r>
        <w:t>https://mcp.opencaselaw.ch/entscheid/ge_gerichte_P_16787_2022</w:t>
      </w:r>
    </w:p>
    <w:p>
      <w:r>
        <w:t>FR: GE_GERICHTE P/16787/2022 du 16 janvier 2025</w:t>
      </w:r>
    </w:p>
    <w:p>
      <w:r>
        <w:t>IT: GE_GERICHTE P/16787/2022 del 16 gennaio 2025</w:t>
      </w:r>
    </w:p>
    <w:p>
      <w:pPr>
        <w:pStyle w:val="Heading2"/>
      </w:pPr>
      <w:r>
        <w:t>Regeste</w:t>
      </w:r>
    </w:p>
    <w:p>
      <w:r>
        <w:t>INSOUMISSION À UNE DÉCISION DE L'AUTORITÉ;POUVOIR D'EXAMEN;LÉGALITÉ;INTENTION | CP.292; CPP.398.al4; CP.12</w:t>
      </w:r>
    </w:p>
    <w:p>
      <w:pPr>
        <w:pStyle w:val="Heading2"/>
      </w:pPr>
      <w:r>
        <w:t>Erwägungen</w:t>
      </w:r>
    </w:p>
    <w:p>
      <w:r>
        <w:rPr>
          <w:b/>
        </w:rPr>
        <w:t>E. 1.1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(art. 398 al. 4, 1 ère phrase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Le libre pouvoir de cognition dont elle dispose en droit confère à l'autorité cantonale la possibilité, si cela s'avère nécessaire pour juger du bien-fondé de l'application d'une disposition légale, d'apprécier des faits que le premier juge a omis d'examiner, lorsque ceux-ci se révèlent être pertinents (arrêt du Tribunal fédéral 6B_1247/2013 du 13 mars 2014 consid. 1.3).</w:t>
      </w:r>
    </w:p>
    <w:p>
      <w:r>
        <w:rPr>
          <w:b/>
        </w:rPr>
        <w:t>E. 1.4</w:t>
      </w:r>
    </w:p>
    <w:p>
      <w:r>
        <w:t>En l'espèce, dans la mesure où le premier juge n'a examiné, ni en fait, ni en droit, la question de savoir si l'appelante pouvait se conformer à l'injonction, il revient à la juridiction d'appel de le faire, en commençant par établir les faits pertinents à cet égard, en dérogation à l'article 398 al. 4 CPP.</w:t>
      </w:r>
    </w:p>
    <w:p>
      <w:r>
        <w:rPr>
          <w:b/>
        </w:rPr>
        <w:t>E. 2</w:t>
      </w:r>
    </w:p>
    <w:p>
      <w:r>
        <w:t>2.1.1. Le principe in dubio pro reo, qui découle de la présomption d'innocence, garantie par l'art. 6 ch. 2 de la Convention de sauvegarde des droits de l'homme (CEDH),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292 CP, quiconque ne se conforme pas à une décision à lui signifiée, sous la menace de la peine prévue au présent article, par une autorité ou un fonctionnaire compétents sera puni d'une amende. Cette disposition vise à assurer le respect des injonctions des autorités (arrêt du Tribunal fédéral 1B_253/2019 du 11 novembre 2019 consid. 5.1). 2.1.3.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129 IV 246 consid. 2.1 et 2.2 ; arrêt du Tribunal fédéral 6B_677/2023 du 18 octobre 2023 consid. 2.3.1). Lorsque la décision émane d'une juridiction civile, la question de savoir si et dans quelle mesure le juge pénal peut revoir sa légalité a été laissée ouverte (cf. ATF 121 IV 29 consid. 2a). En tous les cas, en supposant que le juge pénal ne soit pas lié par la décision de la juridiction civile, son pouvoir d'examen serait limité à l'arbitraire, ou ce qui est nécessaire à la constatation d'un cas de nullité, résultant, par exemple, de l'incompétence de l'autorité (cf. arrêts du Tribunal fédéral 6B_449/2015 du 2 mai 2016 consid. 3 ; 6B_547/2012 du 26 mars 2013 consid. 2.1). La doctrine majoritaire estime que le juge pénal est toujours lié par la décision d'un juge administratif, civil ou pénal pour autant que celle-ci soit valable et exécutoire, à l'exception des cas dans lesquels la décision est affectée d'un vice – généralement procédural – tellement grave qu'il convient de la considérer comme nulle (B. CORBOZ, Les infractions en droit suisse, vol. II, 3 ème éd., Berne 2010, N 16 ad art. 292 CP ; cf. également les critiques de G. STRATENWERTH/ F. BOMMER [éds.], Schweizerisches Strafrecht, Besonderer Teil II : Straftaten gegen Gemeininteressen, 7 ème éd., Berne 2013, § 53 N 6 et de A. DONATSCH/ M. THOMMEN/ W. WOHLERS [éds.], Strafrecht IV, Delikte gegen die Allgemeinheit, 5 ème éd., Zurich 2017, § 99 p. 428 ss). Toutefois, selon certains auteurs, le juge devrait être habilité à contrôler la légalité de l’injonction, sans pouvoir remettre en question son opportunité (M. DUPUIS / L. MOREILLON / C. PIGUET / S. BERGER / M. MAZOU / V. RODIGARI [éds], Code pénal – Petit commentaire, 2 ème éd., Bâle 2017, N 15 ad art. 292). Enfin, pour RIEDO et BONER, les principes jurisprudentiels relatifs aux décisions administratives vaudraient également pour les décisions civiles, en particulier en présence d'une décision finale sur le fond. Ainsi, avant l'entrée en force du jugement, la procédure pénale devrait de préférence être suspendue (art. 314 al. 1 let. b CPP). Si cela n'est exceptionnellement pas possible, le juge pénal devrait examiner la légalité de la décision avec un plein pouvoir d’examen. Une fois le jugement entré en force, le juge pénal perdrait tout pouvoir d’examen et seuls demeureraient réservés les cas de nullité (M. NIGGLI / H. WIPRÄCHTIGER [éds.], Basler Kommentar Strafrecht II : Art. 137-392 StGB, Jugendstrafgesetz, 4 ème éd., Bâle 2019, N 227 ss ad art. 292 CP). 2.1.4. L'insoumission doit être intentionnelle. L'intention suppose la connaissance de l'injonction, de sa validité et des conséquences pénales de l'insoumission. Le dol éventuel suffit (ATF 147 IV 145 consid. 2.1 ; 119 IV 238 consid. 2a). Agit intentionnellement au sens de l'art. 12 CP, lequel est applicable aux contraventions par renvoi de l'art. 104 CP, quiconque commet un crime ou un délit avec conscience et volonté (al. 1). L'auteur agit déjà intentionnellement lorsqu'il tient pour possible la réalisation de l'infraction et l'accepte au cas où celle-ci se produirait (al. 2). Dans la conception moderne du droit pénal, l'État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2 ème éd., Bâle 2020, n. 3 et 4 ad art. 12). En particulier, en matière de rupture de ban, l'intention est niée lorsque l'étranger se trouve dans l'impossibilité objective de se conformer à l'injonction (S. GRODECKI / Y. JEANNERET, L'expulsion judiciaire, in Droit pénal - évolutions en 2018, CEMAJ, Faculté de droit de l'Université de Neuchâtel, Bâle 2017, pp. 167 ss, p. 182 ; voir aussi la jurisprudence rendue en matière de punissabilité du séjour irrégulier sans faute de l'étranger, soit notamment ATF 143 IV 249 consid. 1.6.1). 2.2.1. En l'espèce, il est constant que l'appelante ne s'est pas conformée à l'ordonnance rendue sur mesures superprovisionnelles le 24 juin 2022, confirmée par celle rendue sur mesures provisionnelles le 7 mars 2023, alors qu'elle avait connaissance tant du contenu de ces décisions que de leur validité. Certes, ces décisions, toutes deux en force, sont fondées sur la vraisemblance et vouées à être remplacées par un jugement au fond. Cela étant, elles sont définitives. Avec la doctrine majoritaire, il convient donc de constater que le juge pénal est lié par elles. En outre, les décisions ultérieures rendues sur exécution forcée ne sont d'aucun secours à l'appelante, dès lors qu'elles ont rejeté les prétentions de l'intimé pour raison de litispendance ou de proportionnalité, non de fond. En l'état, dans la mesure où la procédure en validation des mesures, soit celle touchant audit fond, est toujours pendante, l'injonction demeure contraignante. 2.2.2. Cela étant, demeure la question de savoir si l'appelante pouvait librement choisir de ne pas s'exécuter, soit de ne pas se plier à l'ordre qui lui avait été donné, réalisant ainsi l'élément subjectif de l'intention. Sur la base du dossier, il n'est pas prouvé qu'elle était physiquement en possession du nouveau jeu de clés après changement des serrures et il existe plusieurs éléments qui permettent d'en douter. Pour sa part, le juge civil s'est fondé sur la vraisemblance pour retenir qu'elle était la seule locataire juridique du local, au vu surtout de la faillite de la société sous-locataire. Or, cela n'est pas suffisant et n'exclut pas encore que le changement de serrure fût le fait de I______, étant précisé que l'ordonnance querellée n'analyse pas si l'appelante eût pu ne pas être en possession des clés, de sorte que cette question n'a pas été examinée. Au fil de la procédure, l'appelante a présenté une autre version des faits, tout aussi plausible, et si ses explications ont quelque peu évolué, elle est restée constante sur l'essentiel. Elle a ainsi toujours nié être à l'origine du changement de serrures et détenir les nouvelles clés, étant rappelé que selon elle, le contrat de vente serait un acte simulé. Les divers documents produits, soit en particuliers les certificats médicaux relatifs à son accouchement et l'attestation de I______, constituent des indices corroborant sa version. Elle n'apparaît pas non plus au registre du commerce de G______ Sàrl et faute d'autres preuves, l'on voit mal en quelle qualité elle aurait pu vendre le fonds de commerce éponyme. Quant à l'intimé, il n'a jamais pris position sur les dénégations de l'appelante avant la présente procédure. Ses requêtes en exécution forcée sont par ailleurs très sommaires ; elles ne développent aucun argument spécifique et n'offrent aucune preuve supplémentaire pour les contredire. Dans ses déterminations sur appel, il soutient qu'il appartenait à l'appelante d'entreprendre toutes les démarches utiles pour récupérer les clés du local et se conformer à l'injonction, en particulier en résiliant le contrat de sous-location de la société K______, ce qui équivaut à un aveu implicite de ce qu'elle ne les détient pas. Ce faisant, il propose une interprétation beaucoup trop extensive de l'ordonnance litigieuse en ce qu'elle vise la restitution " immédiate " des clés. Dite décision ordonne également à l'appelante, mais en prolongement de la restitution des clés, de permettre à l'intimé d'exploiter le fonds de commerce. Outre son caractère très vague, qui fait que l'on ignore s'il faut comprendre que l'injonction est susceptible d'être satisfaite par la seule remise des clés ou si une autre action doit/peut être envisagée, il reste que le jugement du 15 mai 2024 retient que les locaux sont occupés par un nouveau locataire sans qu'il ne soit envisagé que l'appelante soit en mesure de modifier cette situation, encore moins rapidement. En vérité, la motivation de cette décision n'est d'aucun secours à l'intimé puisqu'elle considère, sans se prononcer sur la validité de l'injonction, que le dépôt d'une nouvelle plainte pénale en vue de contraindre l'appelante serait toujours possible, tout en retenant, simultanément et contradictoirement, que cette dernière n'est plus en possession des clés et n'a pas la maîtrise sur les locaux loués. En définitive, il appert que l'appelante n'est pas en mesure de déférer à l'injonction qui lui a été faite en application de l'art. 292 CP. La question de savoir si elle a, de ce fait, violé ses obligations à l'égard de l'intimé est de la compétence du juge civil. Il sera partant retenu qu'il n'est pas établi qu'au moment où l'ordonnance de mesures superprovisionnelles a été rendue, elle eût été en possession des clés litigieuses ainsi qu'exercé la maîtrise sur le fonds de commerce, et, par conséquent, eût pu se conformer à l'injonction et eût délibérément choisi de ne pas le faire. L'élément subjectif faisant défaut, l'appelante sera acquittée du chef d'insoumission à une décision de l'autorité et le jugement réformé dans ce sens.</w:t>
      </w:r>
    </w:p>
    <w:p>
      <w:r>
        <w:rPr>
          <w:b/>
        </w:rPr>
        <w:t>E. 3</w:t>
      </w:r>
    </w:p>
    <w:p>
      <w:r>
        <w:t>L'appel ayant été admis, il ne sera pas perçu de frais (art. 428 CPP a contrario). Les frais de la procédure préliminaire et de première instance seront laissés à la charge de l'État.</w:t>
      </w:r>
    </w:p>
    <w:p>
      <w:r>
        <w:rPr>
          <w:b/>
        </w:rPr>
        <w:t>E. 4</w:t>
      </w:r>
    </w:p>
    <w:p>
      <w:r>
        <w:t>4.1.1. Selon l'art. 429 al. 1 let. a et b CPP, le prévenu au bénéfice d'une ordonnance de classement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et al., op. cit., n. 19 ad art. 429). S'il s'écarte notablement de la note d'honoraires présentée, il doit en motiver les raisons (M. NIGGLI et al., op. cit., n. 18 ad art. 429).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de CHF 350.- pour les avocats collaborateurs ( ARP/49/2024 du 1 er février 2024 consid. 7.1.1 ; AARP/177/2023 du 25 mai 2023 consid. 7.1) et de CHF 150.- pour les avocats-stagiaires ( AARP/56/2024 du 8 février 2024 consid. 8.1.1 ; AARP/202/2023 du 19 juin 2023 consid. 7.1.2). 4.1.2. Selon l'art. 429 al. 3, première phrase, CPP, entré en vigueur au 1 er janvier 2024, lorsque le prévenu a chargé un défenseur privé de sa défense, celui-ci a un droit exclusif à l'indemnité prévue à l'al. 1, let. a, sous réserve d'un règlement de compte avec son client. La lettre de cette disposition est claire en ce sens que la prétention à l'indemnité fondée sur l'art. 429 al. 1 let. a CPP appartient désormais exclusivement (" ausschliesslich " ; " esclusivamente ") à l'avocat représentant le prévenu, sous réserve d'un règlement de compte avec son mandant (cf. également arrêt du Tribunal fédéral 7B_654/2024 du 1er octobre 2024 consid. 2.3 [destiné à la publication mais qui porte sur l'art. 429 al. 3, seconde phrase, CPP]). Depuis le 1 er janvier 2024, une indemnité fondée sur l'art. 429 al. 1 let. a CPP valablement requise doit donc, le cas échéant, être octroyée directement à l'avocat de la défense qui n'est pas rémunéré par l'assistance judiciaire. Dans la mesure où le jugement querellé a été rendu postérieurement à cette date, le nouveau droit s'applique aux prétentions en indemnité de la défense relatives à la présente procédure.</w:t>
      </w:r>
    </w:p>
    <w:p>
      <w:r>
        <w:rPr>
          <w:b/>
        </w:rPr>
        <w:t>E. 4.2</w:t>
      </w:r>
    </w:p>
    <w:p>
      <w:r>
        <w:t>En l'espèce, il convient tout d'abord de retrancher 3h42 d'activité de chef d'étude aux 10h57 facturées pour la seconde instance, dans la mesure où l'avocat a soumis, à deux reprises, un mémoire complet aux arguments quasi-identiques (déclaration d'appel motivée, ce qui n'était pas indispensable, puis mémoire d'appel). Cela étant, cette activité doit encore être réduite à 5h00, lesquelles apparaissent suffisantes pour tenir adéquatement compte de la complexité et de l'ampleur très relatives de la présente affaire. Au vu de ce qui précède, un montant de CHF 5'252.30 sera alloué à M e C______, correspondant à 1h30 d'activité de stagiaire à CHF 150.- de l'heure (CHF 225.-) et 5h00 d'activité de chef d'étude à CHF 450.- de l'heure (CHF 2'250.-), augmenté des débours à 5% (CHF 123.75) et de la TVA en 8.1% (CHF 210.50), soit CHF 2'809.25, auquel s'ajoute la somme de CHF 2'443.05, sollicitée pour les frais de défense en première instance.</w:t>
      </w:r>
    </w:p>
    <w:p>
      <w:r>
        <w:rPr>
          <w:b/>
        </w:rPr>
        <w:t>E. 5</w:t>
      </w:r>
    </w:p>
    <w:p>
      <w:r>
        <w:t>Vu l'issue de la procédure, l'intimé sera débouté de ses conclusions en indemnisation (art. 433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