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P/16785/2012 vom 9. November 2017</w:t>
      </w:r>
    </w:p>
    <w:p>
      <w:r>
        <w:t>GE Cour de justice, 2017-11-09, FR</w:t>
      </w:r>
    </w:p>
    <w:p>
      <w:r>
        <w:rPr>
          <w:b/>
        </w:rPr>
        <w:t xml:space="preserve">Quelle: </w:t>
      </w:r>
      <w:r>
        <w:t>https://mcp.opencaselaw.ch/entscheid/ge_gerichte_P_16785_2012</w:t>
      </w:r>
    </w:p>
    <w:p>
      <w:r>
        <w:t>FR: GE_GERICHTE P/16785/2012 du 9 novembre 2017</w:t>
      </w:r>
    </w:p>
    <w:p>
      <w:r>
        <w:t>IT: GE_GERICHTE P/16785/2012 del 9 novembre 2017</w:t>
      </w:r>
    </w:p>
    <w:p>
      <w:pPr>
        <w:pStyle w:val="Heading2"/>
      </w:pPr>
      <w:r>
        <w:t>Regeste</w:t>
      </w:r>
    </w:p>
    <w:p>
      <w:r>
        <w:t>PARTIE À LA PROCÉDURE ; VOIE DE DROIT ; GESTION DÉLOYALE ; DÉLIT D'OMISSION ; FIXATION DE LA PEINE ; FRAIS DE LA PROCÉDURE ; INDEMNITÉ(EN GÉNÉRAL) ; PLAIGNANT ; DÉFENSE D'OFFICE | CPP.118 CPP</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 les frais, les indemnités et la réparation du tort moral (let. f). A teneur de l'art. 402 CPP, l'appel suspend la force de chose jugée du jugement attaqué dans les limites des points contestés. Les points non attaqués du jugement entrent en force à la date à laquelle le jugement de première instance a été rendu et ne peuvent plus être contestés (L. MOREILLON / A. PAREIN-REYMOND, Petit commentaire CPP , Bâle 2016, ad art. 402 CPP, n. 1 et 4 et les références citées). La Chambre limite son examen aux violations décrites dans l'acte d'appel (art. 404 al. 1 CPP), sauf afin de prévenir des décisions illégales ou inéquitables, ce en faveur du prévenu (art. 404 al. 2 CPP). 1.2.1. Selon l'art. 118 al. 1 CPP, on entend par partie plaignante le lésé qui déclare expressément vouloir participer à la procédure pénale comme demandeur au pénal ou au civil. Est considérée comme lésée au sens de l'art. 115 CPP toute personne dont les droits ont été touchés directement par une infraction. 1.2.2. Le recours est recevable contre les décisions et les actes de procédure du ministère public (art. 393 al. 1 let. a CPP). Tout acte de procédure mais aussi toute abstention et omission peut faire l'objet d'un recours. Pour ce qui concerne les décisions prises par le ministère public, on songera notamment au refus de conférer au lésé le statut de victime ou de partie plaignante (L. MOREILLON / A. PAREIN-REYMOND, op. cit. , ad art. 393 al. 1 let. a CPP, n. 8 et 12). 1.2.3. Le recours est également recevable contre les ordonnances, les décisions et les actes de procédure des tribunaux de première instance (art. 393 al. 1 let. b CPP). Conformément à la jurisprudence du Tribunal fédéral, la décision préalable, rendue lors des débats de première instance, d'exclure la partie plaignante a une portée particulière. Les effets d'une telle décision ne sont pas susceptibles d'être réparés par la suite. Contrairement à l'avis d'une partie de la doctrine, un recours immédiat au Tribunal fédéral contre une telle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Toujours selon le Tribunal fédéral,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Le CPP n'offrant pas de solution satisfaisante et le législateur ayant omis de tenir compte de la problématique spécifique de l'exclusion de la qualité de partie plaignante lors des débats de première instance, il s'agissait d'une lacune proprement dite devant être comblée. Une voie de droit immédiate devant être ouverte, il se justifiait ainsi de prévoir le recours de l'art. 393 al. 1 let. b CPP (ATF 138 IV 193 consid. 4.4. p. 196 et suivante). 1.2.4. En cas d'appel portant sur un autre point du dispositif, la CPAR peut traiter de griefs portant sur une décision judiciaire indépendante devant faire l'objet d'un recours, comme peut l'être la décision d'indemnisation en cas de défense d'office, par économie de procédure ( AARP/217/2016 du 26 mai 2016 consid. 4).</w:t>
      </w:r>
    </w:p>
    <w:p>
      <w:r>
        <w:rPr>
          <w:b/>
        </w:rPr>
        <w:t>E. 1.3</w:t>
      </w:r>
    </w:p>
    <w:p>
      <w:r>
        <w:t>A titre liminaire, l'intéressé requiert, dans sa déclaration d'appel, la reconnaissance de sa qualité de partie plaignante, niée préalablement par le premier juge lors des débats. Or,il n'est en principe pas du ressort de la Chambre de céans de revoir cette question en appel, laquelle aurait dû faire l'objet d'un recours auprès de l'autorité compétente. Cela étant, à supposer que la CPAR puisse se saisir de cette question par économie de procédure, force serait de constater, le cas échéant, que l'acte d'accusation dressé ne mentionne pas l'appelant comme partie plaignante, mais uniquement la FONDATION C______, ni ne décrit les éventuels agissements commis par F______ à son encontre, étant encore relevé que le dommage mentionné de CHF 300'000.- ne correspond qu'à celui allégué par H______ et la fondation. Du reste, d'après la motivation du jugement entrepris, le verdict de culpabilité rendu par le Tribunal de police à l'encontre de F______ ne comprend pas une infraction contre l'appelant, mais uniquement contre feue H______ et la FONDATION C______, et l'appelant n'a au demeurant pas formellement attaqué le verdict retenu, ni l'acquittement prononcé en faveur de F______ du chef de faux dans les titres, alors que certaines de ses prétentions semblaient se déduire de cette infraction. En définitive, l'appelant aurait dû réagir à réception de l'acte d'accusation, en demandant expressément au Ministère public de le considérer comme partie plaignante, voire en recourant contre une telle abstention ou omission, étant toutefois rappelé qu'il n'a toujours dirigé sa plainte que contre la banque. D'ailleurs, la banque avait elle-même interjeté un tel recours contre la négation de sa propre qualité de partie plaignante par le Ministère public au cours de la procédure (ACPR______1). Partant, les conclusions de l'appelant tendant à la reconnaissance de sa qualité de partie plaignante et, de ce fait, à l'admission de conclusions civiles, sont quoi qu'il en soit irrecevables en appel.</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w:t>
      </w:r>
    </w:p>
    <w:p>
      <w:r>
        <w:rPr>
          <w:b/>
        </w:rPr>
        <w:t>E. 3.2</w:t>
      </w:r>
    </w:p>
    <w:p>
      <w:r>
        <w:t>Sur le plan objectif, l'infraction de gestion déloyale suppose un devoir de gestion ou de sauvegarde, la violation d'une obligation inhérente à cette qualité et qu'il en résulte un dommage. L'infraction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(ATF 123 IV 17 consid. 3b p. 21). Celui qui, en droit, assume des obligations, doit en répondre et ne peut dégager sa responsabilité qu'en se démettant de ses fonctions. Il ne peut invoquer à décharge sa dépendance à l'égard d'autres responsables, fussent-ils ses employeurs (ATF 105 IV 106 consid. 2 p. 110). Si l'on songe à l'exigence d'un droit de disposition autonome, il est évident qu'un conseiller en placement ou un simple auxiliaire de la gestion n'a pas la qualité de gérant (B. CORBOZ, Les infractions en droit suisse , vol. I, 3 e éd., Berne 2010, n. 3 ad art. 158 CP). L'organe chargé de représenter, d'administrer et de diriger une fondation au sens des art. 80 ss. du Code civil suisse du 10 décembre 1907 (CC - RS 210) est tenu, par une obligation découlant de la loi, d'administrer fidèlement et correctement le patrimoine de la fondation, conformément au but de celle-ci. Il se trouve ainsi nécessairement en position de gérant de la fondation et jouit d'un pouvoir de disposition autonome sur les biens qu'il administre. Lorsque l'organe est composé de plusieurs personnes, celles-ci jouissent collectivement du pouvoir de gestion autonome propre à l'organe dont elles font partie. Cela étant, même si l'un des membres de cet organe accomplit seul, dans l'exercice de ce pouvoir, l'un des actes constitutifs de l'infraction de gestion déloyale, il tombe sous le coup de cette disposition (ATF 105 IV 106 consid. 2).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 Pour qu'un délit d'omission improprement dit soit réalisé, il faut que l'auteur se trouve dans une position de garant, impliquant un devoir de diligence, qu'il ait omis d'accomplir un acte que lui imposait ce devoir de diligence et que cette omission soit en relation de causalité avec le résultat. Dans ce cas,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Pour l'analyse des conséquences de l'acte supposé, il faut appliquer les concepts généraux de la causalité naturelle et de la causalité adéquate (ATF 134 IV 255 consid. 4.4.1 p. 264 s. et les références ; ATF 133 IV 158 consid. 6.1 p. 168 et les références).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(arrêts du Tribunal fédéral 6B_315/2016 du 1 er novembre 2016 consid. 5 et 6B_877/2015 du 20 juin 2016 consid. 5). La notion de dommage doit être comprise comme pour les autres infractions contre le patrimoine, en particulier l'escroquerie et l'abus de confiance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w:t>
      </w:r>
    </w:p>
    <w:p>
      <w:r>
        <w:rPr>
          <w:b/>
        </w:rPr>
        <w:t>E. 3.3</w:t>
      </w:r>
    </w:p>
    <w:p>
      <w:r>
        <w:t>L'infraction est intentionnelle (arrêt du Tribunal fédéral 6B_412/2016 du 10 février 2017 consid. 2.1 in fine ). Sur le plan subjectif,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 6B_455/2016 , 6B_489/2016 , 6B_490/2016 , 6B_504/2016 du 20 avril 2017 consid. 4.1).</w:t>
      </w:r>
    </w:p>
    <w:p>
      <w:r>
        <w:rPr>
          <w:b/>
        </w:rPr>
        <w:t>E. 4</w:t>
      </w:r>
    </w:p>
    <w:p>
      <w:r>
        <w:t>En l'espèce, il convient de relever, à titre liminaire, que le verdict de culpabilité du chef d'abus de confiance (art. 138 ch. 2 CP) retenu par le premier juge à l'encontre de F______ est entré en force, faute d'un appel interjeté sur ce point. Il est ainsi confirmé qu'à partir d'une période indéterminée en 2011, jusqu'en novembre 2012, F______ a puisé à de nombreuses reprises dans les comptes de H______ et de la FONDATION C______, en transférant des sommes d'argent sur ceux de l'appelant, avant de les créditer sur son propre compte et d'en profiter personnellement. L'appelant conteste la gestion déloyale par omission qui lui est reprochée dans ce cadre. Or, l'appelant ne peut valablement nier sa qualité de gérant des biens de H______, au vu des procurations, à tout le moins bancaires, qui lui ont été délivrées par celle-ci à compter de 2009, et dont il ne remet d'ailleurs pas en cause l'existence ou la validité. Il a, au demeurant, lui-même produit la procuration générale notariée établie en sa faveur en juillet 2012, selon laquelle il bénéficiait en particulier, dans les relations de sa mandante avec les banques, des pouvoirs de déposer et retirer toutes sommes et valeurs, de donner tous ordres de paiement, d'achat et de vente de titres. Le témoin L______ a confirmé l'existence d'une telle procuration générale, portant sur les affaires personnelles, administratives et financières de H______, cette dernière l'ayant fréquemment renvoyé à s'adresser à l'appelant concernant ses affaires. L'appelant endossait également une position de gérant des avoirs de la FONDATION C______ en étant au bénéfice d'un droit de signature collective sur les comptes de celle-ci, au côté de H______. Au contraire, il est constant que F______, qui travaillait auprès de la banque en tant que conseiller à la clientèle, ne bénéficiait pas d'une procuration sur les comptes de H______, de la FONDATION C______ ou de l'appelant, de sorte qu'il devait obtenir l'accord de ces clients pour procéder à des transactions les concernant. F______ s'est, du reste, prévalu d'avoir techniquement obtenu l'accord de l'appelant pour procéder à ses transferts, prélèvements et vente de titres, dans la mesure où ce dernier ne s'y était pas opposé, confirmant par là la nécessité d'obtenir son approbation. En outre, F______ a expliqué qu'il effectuait la quasi-totalité de son travail pour H______ et la FONDATION C______ à son domicile. K______ a confirmé que F______ n'avait aucune procuration sur les comptes en question et que la banque n'était pas au courant de cette activité. Ainsi, en dépit de ses dénégations, force est de constater que, contrairement à F______, l'appelant avait, de par ses pouvoirs, un droit de disposition autonome sur les biens de H______ et de la FONDATION C______, fondant une qualité de gérant et, de ce fait, à tout le moins un devoir de sauvegarde des intérêts pécuniaires non négligeables de ceux-ci. Selon les propres déclarations de l'appelant, H______ lui avait même dit qu'en cas de besoin il pouvait se servir sur ses comptes, ce qui démontre toute l'autonomie de celui-ci sur ces avoirs. Le fait que H______ ait pu elle-même, avant l'établissement d'une procuration en faveur de l'appelant, avoir des contacts directs avec F______, qui officiait en tant que conseiller à la clientèle, n'est pas de nature à modifier cette appréciation. Quand bien même l'appelant a délégué à F______ certaines tâches relatives à la gestion des biens de H______ et de la FONDATION C______ au sein de la banque, n'ayant plus eu le temps de s'en occuper personnellement, tel qu'il l'a expliqué et que F______ l'a corroboré, cela ne le dispensait pas du devoir de surveillance auquel il était astreint en sa qualité de gérant. Du reste, la dernière procuration établie en faveur de l'appelant en juillet 2012 spécifiait bien que, si l'appelant avait la faculté de substituer une personne dans la totalité ou dans une partie de ses pouvoirs, il pouvait révoquer tous les mandats et substitutions, recevoir le compte rendu de la mission des mandataires partiellement substitués, l'accepter ou le contester, et devait plus généralement faire tout ce que les circonstances exigeaient. Or, l'appelant a manifestement violé son devoir de surveillance. D'une part, tel qu'il l'a finalement admis devant le premier juge, il ne s'est pas assuré des capacités de F______ pour exécuter les tâches déléguées, ni n'a vérifié la manière dont il s'en acquittait. D'autre part, quand bien même il ne recevait que très peu d'informations sur la façon dont F______ assumait la gestion déléguée, l'appelant n'a pas pris la peine de vérifier les relevés de comptes envoyés, dont il ne conteste à juste titre plus la réception en appel. L'appelant reconnaît bien plutôt qu'il recevait un volume anormalement élevé de décomptes, y compris concernant sa propre relation bancaire, ce qui aurait d'autant plus dû attirer son attention qu'il remettait lui-même les factures à régler à F______ et devait donc être conscient de leur proportion, et que son compte principal était censé être " dormant ". Tel qu'il l'explique, l'appelant s'est contenté de donner son accord oral à F______ pour exécuter des paiements, et valider et contresigner les opérations proposées par celui-ci, sans aucune supervision. F______ a d'ailleurs déclaré qu'il suffisait qu'il propose une opération à l'appelant et que ce dernier la valide oralement pour y procéder. L'appelant s'est en définitive désintéressé de la situation financière de sa mandante, sauf lorsqu'il a eu besoin de s'octroyer un prêt par le biais des avoirs de celle-ci pour s'acheter un véhicule en février 2012 ou qu'il a su que cette dernière allait revenir à domicile et qu'il devait budgétiser sa nouvelle prise en charge, comme il le mentionne dans sa plainte. Le fait que H______ se trouvait dans l'incapacité d'assurer le suivi de ses affaires financières, en raison de son état de santé, aurait pourtant dû commander un devoir de surveillance accru de l'appelant. Ces omissions suffisent à retenir que l'appelant a gravement violé ses devoirs de gérant. Contrairement à ce qu'il semble penser, le fait que F______ ait commis des agissements répréhensibles n'est pas de nature à le disculper de ses omissions coupables, le droit pénal ne connaissant en tout état de cause pas la compensation des fautes (ATF 122 IV 17 consid. 2c/bb p. 24). L'existence d'un dommage est manifeste au vu de la diminution des actifs survenus sur les comptes de H______ et de la FONDATION C______, constatée en partie par la brigade financière et estimée à plus de CHF 300'000.- par les lésées. Contrairement à ce que soutient l'appelant, des vérifications et une surveillance idoine de sa part auraient assurément permis de remarquer les détournements opérés par F______ sur les comptes dont il était le garant et donc d'empêcher la survenance d'un dommage d'une telle ampleur, de sorte qu'un lien de causalité entre ses manquements et le préjudice causé est établi. Sur le plan subjectif, il convient d'admettre que l'appelant a à tout le moins agi par dol éventuel et non seulement par négligence, tel qu'il le soutient. En effet, s'il a fait preuve d'indifférence quant à l'accomplissement des agissements répréhensibles de F______, il les a néanmoins acceptés ou à tout le moins tacitement. Du reste, ce sont les doutes sérieux émis par l'appelant lui-même quant à la bonne exécution des tâches déléguées à F______, qui ont finalement conduit ce dernier à lui avouer ses méfaits, sans que l'appelant ne prenne toutefois d'emblée les mesures qui s'imposaient. Comme l'appelant l'a admis, et conformément aux déclarations faites en ce sens également par F______, il avait, à tout le moins, connaissance des agissements de ce dernier à l'été 2012 et du dommage causé, mais n'a dénoncé les faits qu'en novembre 2012. Il a ainsi encore permis à F______ d'opérer d'autres détournements dans l'intervalle, puisque la période pénale s'est étendue jusqu'au mois de novembre 2012, tout en ayant lui-même accepté des fonds de ce dernier pour louer une villa et aller " se détendre " en Espagne. Cela étant, l'appelant a également déclaré ne pas avoir compris le volume des transactions avant l'été, ce qui l'avait conduit à mettre la pression à F______, et s'est octroyé un prêt pour s'acheter un véhicule sur les avoirs de sa mandante en février 2012, de sorte qu'il ne peut être exclu qu'il avait déjà conscience de la situation auparavant. En outre, l'appelant avait bien conscience de sa qualité de gérant, puisqu'il s'est inquiété du défaut de règlement des factures de H______ et a finalement dénoncé les faits. En définitive, le verdict de culpabilité du chef de gestion déloyale retenu par le premier juge à l'encontre de l'appelant ne peut qu'être confirmé.</w:t>
      </w:r>
    </w:p>
    <w:p>
      <w:r>
        <w:rPr>
          <w:b/>
        </w:rPr>
        <w:t>E. 4.1</w:t>
      </w:r>
    </w:p>
    <w:p>
      <w:r>
        <w:t>L'infraction de gestion déloyale, au sens de l'art. 158 ch. 1, est passible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4.2.2. Compte tenu des nombreux paramètres qui interviennent dans la fixation de la peine, une comparaison avec des affaires concernant d'autres accusés et des faits différents est d'emblée délicate (ATF 123 IV 49 consid. 2e p. 52 s. ; ATF 120 IV 136 consid. 3a p. 142 s. et les références). Les disparités en cette matière s'expliquent normalement par le principe de l'individualisation des peines, voulu par le législateur (ATF 141 IV 61 consid. 6.3.2 p. 69 ; ATF 135 IV 191 consid. 3.1 p. 193 ; arrêts du Tribunal fédéral arrêt du Tribunal fédéral 6B_454/2016 , 6B_455/2016 , 6B_489/2016 , 6B_490/2016 , 6B_504/2016 du 20 avril 2017 consid. 5.1 ; 6B_353/2016 du 30 mars 2017 consid. 3.2 et les références).</w:t>
      </w:r>
    </w:p>
    <w:p>
      <w:r>
        <w:rPr>
          <w:b/>
        </w:rPr>
        <w:t>E. 4.3</w:t>
      </w:r>
    </w:p>
    <w:p>
      <w:r>
        <w:t>Conformément à l'art. 34 CP, la peine pécuniaire ne peut excéder en principe 360 jours-amende et le juge fixe leur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4.5</w:t>
      </w:r>
    </w:p>
    <w:p>
      <w:r>
        <w:t>En l'occurrence, quand bien même l'appelant a agi par omission, sa faute est importante. Il s'est totalement désintéressé des patrimoines de H______ et de la FONDATION C______ qu'il avait le devoir de surveiller, ce notamment en dépit d'indices de lésion de ces avoirs et alors que sa mandante rencontrait de graves difficultés dans sa santé. L'appelant a agi par pure convenance personnelle et appât du gain facile, dès lors que, sans honorer ses devoirs fondamentaux de gérant, il a tout de même continué à percevoir le remboursement de frais, voire des honoraires, pour ses prétendus services durant la période litigieuse. La collaboration de l'appelant à la procédure est sans particularité et sa prise de conscience médiocre, celui-ci semblant s'être convaincu de n'être en quelque sorte qu'une victime collatérale des agissements de F______, sans y voir une réelle faute de sa part, même s'il a concédé avoir fait preuve d'une " négligence " totale. La situation personnelle de l'appelant ne justifiait en rien ses agissements. Si son emploi du temps personnel ne lui permettait pas d'honorer ses devoirs, il aurait dû y renoncer. L'absence d'antécédent de l'intéressé a un effet neutre sur la fixation de la peine. Compte tenu de ce qui précède, et du fait que l'appelant ne saurait se retrancher derrière les agissements de F______ pour prétendre à une diminution de la quotité de sa peine au vu de la violation de ses propres devoirs, la peine pécuniaire de 180 jours-amende à CHF 50.- l'unité qu'il s'est vu infligée n'est nullement critiquable, étant adaptée tant à sa faute qu'à sa situation personnelle. Pour le surplus, le bénéfice du sursis est acquis à l'appelant et le délai d'épreuve fixé à trois ans est adéquat. Par conséquent, l'appel doit être rejeté et le jugement entrepris intégralement confirmé.</w:t>
      </w:r>
    </w:p>
    <w:p>
      <w:r>
        <w:rPr>
          <w:b/>
        </w:rPr>
        <w:t>E. 5</w:t>
      </w:r>
    </w:p>
    <w:p>
      <w:r>
        <w:t>5.1. L'appelant, qui succombe, supportera les frais de la procédure envers l'État, qui comprennent un émolument de jugement de CHF 2'000.- en appel (art. 428 CPP et art. 14 al. 1 let. e du Règlement fixant le tarif des frais en matière pénale ; E 4 10.03). Il n'y a pas lieu de revoir la répartition des frais de procédure en première instance, au vu de la confirmation du verdict de culpabilité de l'appelant, qui tel que l'a relevé la partie plaignante, n'est pas moindre que celui retenu à l'encontre de F______ (art. 428 al. 3 et 426 al. 1 CPP).</w:t>
      </w:r>
    </w:p>
    <w:p>
      <w:r>
        <w:rPr>
          <w:b/>
        </w:rPr>
        <w:t>E. 5.2</w:t>
      </w:r>
    </w:p>
    <w:p>
      <w:r>
        <w:t>Compte tenu de ce qui précède, il n'y a pas lieu de faire droit à une indemnité pour les frais de procédure de l'appelant (art. 429 al. 1 let. a CPP a contrario ).</w:t>
      </w:r>
    </w:p>
    <w:p>
      <w:r>
        <w:rPr>
          <w:b/>
        </w:rPr>
        <w:t>E. 6</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rPr>
          <w:b/>
        </w:rPr>
        <w:t>E. 6.2</w:t>
      </w:r>
    </w:p>
    <w:p>
      <w:r>
        <w:t>La partie plaignante obtenant gain de cause en appel, au vu de la confirmation du verdict de culpabilité de l'appelant, le principe d'une indemnisation par ce dernier de ses frais d'avocat pour la procédure de première instance et d'appel lui est acquis. Tel que précédemment développé, au vu de la culpabilité de l'appelant retenue, il ne convient pas de revoir la part de l'indemnité due par celui-ci à la partie plaignante en première instance. S'agissant du quantum de l'indemnité due en appel , il sied de relever qu'à teneur de la note de frais produite, un temps d'activité de près de cinq heures a été déployé par le conseil pour la rédaction du mémoire réponse, lequel contient quatre pages de motivation et ne traite pas d'une problématique particulière, étant relevé que ledit conseil avait déjà œuvré en première instance. En outre, une heure supplémentaire a été consacrée à la rédaction de la requête d'indemnisation, environ deux heures à l'examen de la déclaration d'appel, à la rédaction de courriers à la CPAR ou de courriels au commissaire de la fondation et plus de deux heures ont encore été dévolues à la prise de connaissance du mémoire d'appel, lequel est similaire à la déclaration d'appel produite. L'activité déployée apparaît ainsi quelque peu excessive, de sorte que, globalement considéré, un temps d'activité totale de 8h00 sera retenu comme étant adéquat, au lieu des 10h15 de prestations requises. Partant, l'appelant sera condamné à payer à la partie plaignante une indemnité pour ses frais d'avocat en appel arrêtée à CHF 3'633.10, correspondant à 8h00 d'activité au tarif horaire de CHF 400.-, frais de CHF 164.- et TVA par CHF 269.10 dus en sus. Il n'y a pas lieu à l'octroi d'intérêts moratoires.</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7.1.2. Selon l'art. 135 al. 1 CPP, le défenseur d'office est indemnisé conformément au tarif des avocats de la Confédération ou du canton du for du procès, le règlement sur l'assistance juridique du 28 juillet 2010 (RAJ ; E 2 05.04) s'applique. Selon l'art. 16 al. 1 RAJ, l'indemnité due à l'avocat et au défenseur d'office en matière pénale est calculée selon le tarif horaire de CHF 65.- pour l'avocat stagiaire (let. a) et de CHF 125.- pour le collaborateur (let. b),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L'allocation d'un montant forfaitaire par vacation (aller-retour) est admissible (décision de la Cour des plaintes du Tribunal pénal fédéral BB.2013.182 du 16 avril 2014 consid. 3.2.1). A Genève, vu l'emplacement des études concernées, à une distance de, au plus, une quinzaine de minutes à pied du Palais de justice, la rémunération forfaitaire de la vacation aller/retour (soit 30 minutes au total) au et du Palais de justice est notamment arrêtée à CHF 20.- pour les avocats stagiaires ( AARP/501/2016 du 9 décembre 2016 consid. 6.2.5).</w:t>
      </w:r>
    </w:p>
    <w:p>
      <w:r>
        <w:rPr>
          <w:b/>
        </w:rPr>
        <w:t>E. 7.2</w:t>
      </w:r>
    </w:p>
    <w:p>
      <w:r>
        <w:t>En l'occurrence, l'état de frais présenté par le défenseur d'office de F______ se révèle globalement adéquat, étant précisé que la vacation du stagiaire doit être défrayée par un montant forfaitaire de CHF 20.-. En conclusion, l'indemnité due à ce titre à M e G______ sera arrêtée à CHF 281.50, correspondant à 1h45 d'activité du collaborateur au tarif horaire de CHF 125.-, plus une majoration forfaitaire de 10%, au vu de l'activité déjà déployée en première instance excédant 30 heures, une vacation du stagiaire de CHF 20.- et la TVA de 8% (CHF 20.85).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