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P/16783/2022 vom 29. April 2024</w:t>
      </w:r>
    </w:p>
    <w:p>
      <w:r>
        <w:t>GE Cour de justice, 2024-04-29, FR</w:t>
      </w:r>
    </w:p>
    <w:p>
      <w:r>
        <w:rPr>
          <w:b/>
        </w:rPr>
        <w:t xml:space="preserve">Quelle: </w:t>
      </w:r>
      <w:r>
        <w:t>https://mcp.opencaselaw.ch/entscheid/ge_gerichte_P_16783_2022</w:t>
      </w:r>
    </w:p>
    <w:p>
      <w:r>
        <w:t>FR: GE_GERICHTE P/16783/2022 du 29 avril 2024</w:t>
      </w:r>
    </w:p>
    <w:p>
      <w:r>
        <w:t>IT: GE_GERICHTE P/16783/2022 del 29 aprile 2024</w:t>
      </w:r>
    </w:p>
    <w:p>
      <w:pPr>
        <w:pStyle w:val="Heading2"/>
      </w:pPr>
      <w:r>
        <w:t>Regeste</w:t>
      </w:r>
    </w:p>
    <w:p>
      <w:r>
        <w:t>IN DUBIO PRO REO;LÉGITIME DÉFENSE;EXPULSION(DROIT DES ÉTRANGERS);TENTATIVE(DROIT PÉNAL);MEURTRE;PROPORTIONNALITÉ;LÉSION CORPORELLE GRAVE | CP.66a; CPP.10; CP.111; CP.22; CP.15; CP.16; CP.123.ch2</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 Cela étant, celui-ci est caduc compte tenu du retrait de l’appel formé par la prévenue visée dans l’appel joint. Il sera pris acte de ce retrait et de la caducité de l’appel joint aux termes du présent arrêt.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situations de "parole contre parole" ne doivent pas nécessairement conduire à un acquittement ; l'appréciation définitive des déclarations des participants incombe au tribunal du fond (ATF 137 IV 122 consid. 3.3 ; arrêts du Tribunal fédéral 6B_922/2022 du 21 avril 2023 consid. 1.2 ; 6B_720/2022 du 9 mars 2023 consid. 1.1 ; 6B_497/2022 du 23 décembre 2022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2.2</w:t>
      </w:r>
    </w:p>
    <w:p>
      <w:r>
        <w:t>L'art. 111 CP réprime le comportement de quiconque tue intentionnellement une personne, tandis que l’art. 122 CP sanctionne quiconque, intentionnellement, blesse une personne de façon à mettre sa vie en danger, mutile le corps d’une personne, un de ses membres ou un de ses organes importants, cause à une personne une incapacité de travail, une infirmité ou une maladie mentale permanentes, ou défigure une personne d’une façon grave et permanente ou lui fait subir toute autre atteinte grave à l’intégrité corporelle ou à la santé physique ou mentale. L’art. 123 CP s’applique pour sa part aux autres atteintes à l’intégrité corporelle ou à la santé.</w:t>
      </w:r>
    </w:p>
    <w:p>
      <w:r>
        <w:rPr>
          <w:b/>
        </w:rPr>
        <w:t>E. 2.3</w:t>
      </w:r>
    </w:p>
    <w:p>
      <w:r>
        <w:t>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On peut retenir l'intention homicide lors d'un unique coup de couteau sur le haut du corps de la victime (arrêts du Tribunal fédéral 6B_135/2020 du 16 juin 2020 consid. 4.2 ;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(cf. arrêts du Tribunal fédéral 6B_900/2022 du 22 mai 2023, consid. 2.4 non publié aux ATF 149 IV 266 ; 6B_798/2020 du 16 septembre 2020 consid. 3 ; 6B_230/2012 du 18 septembre 2012 consid. 2.3). Dans le cas d'un coup de couteau dans le haut du corps, le risque de mort, même avec une lame plutôt courte, doit être considéré comme élevé (arrêts du Tribunal fédéral 6B_798/2020 susmentionné consid. 3, tentative de meurtre admise pour un coup dans la poitrine avec un couteau de poche dont la lame mesurait 6 cm ; 6B_239/2009 du 13 juillet 2009 consid. 1 et 2.4, meurtre par dol éventuel retenu avec un couteau dont la lame mesurait 41 millimètres). Selon sa nature, un seul coup porté peut suffire pour retenir l'infraction de tentative d'homicide par dol éventuel (arrêts du Tribunal fédéral 6B_924/2017 du 14 mars 2018 consid. 1.4.2 ; 6B_246/2012 du 10 juillet 2012 consid. 1.3 ; 6B_829/2010 du 28 février 2011 consid. 3.2).</w:t>
      </w:r>
    </w:p>
    <w:p>
      <w:r>
        <w:rPr>
          <w:b/>
        </w:rPr>
        <w:t>E. 2.4</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e éd., Genève / Bâle / Zurich 2011, n. 555, p. 189).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La proportionnalité des moyens de défense se détermine d'après la situation de celui qui voulait repousser l'attaque au moment où il a agi (ATF 136 IV 49 consid. 3.2 p. 51). Il convient également de prendre en compte ses capacités individuelles. Le moyen de défense employé doit être le moins dommageable possible pour l'assaillant, tout en devant permettre d'écarter efficacement le danger (ATF 136 IV 49 consid. 4.2 p. 53 ; ATF 107 IV 12 consid. 3b p. 15). Doivent aussi être pris en considération les effets de l'acte de défense et l'état dans lequel se trouvait celui qui s'est défendu au moment des faits (ATF 99 IV 187 p. 189).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 arrêts du Tribunal fédéral 6B_130/2017 du 27 février 2018 consid. 3.1 et les références = SJ 2018 I 385 ; 6B_6/2017 du 28 février 2018 consid. 4.1).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 arrêts du Tribunal fédéral 6B_346/2016 du 31 janvier 2017 consid. 2.1.2 ; 6B_889/2013 du 17 février 2014 consid. 2.1).</w:t>
      </w:r>
    </w:p>
    <w:p>
      <w:r>
        <w:rPr>
          <w:b/>
        </w:rPr>
        <w:t>E. 2.5</w:t>
      </w:r>
    </w:p>
    <w:p>
      <w:r>
        <w:t>En l’espèce, les versions des protagonistes divergent et doivent être soigneusement analysées pour déterminer le déroulement des faits. Contrairement à ce qui a pu être plaidé, aucun des protagonistes n’a présenté de version immuable ; au contraire, chacun a varié, parfois sur des points de détail, parfois sur des éléments plus importants. Il importe dès lors d’établir les faits.</w:t>
      </w:r>
    </w:p>
    <w:p>
      <w:r>
        <w:rPr>
          <w:b/>
        </w:rPr>
        <w:t>E. 2.5.1</w:t>
      </w:r>
    </w:p>
    <w:p>
      <w:r>
        <w:t>Il est tout d’abord établi que D______ a bien été blessé au couteau pendant l’altercation l’ayant opposé aux deux autres protagonistes. En effet, d’une part, il a été constant dans cette version des faits. Ensuite, il n’était pas blessé à son arrivée, mais l’était manifestement lorsqu’il a quitté les lieux, comme cela ressort à la fois de l’appel d’un passant qui a immédiatement suivi le premier appel aux secours, des images de vidéo surveillance sur lesquelles on constate la trace d’une lésion, et, enfin, des circonstances dans lesquelles il a été retrouvé, au sol et blessé, quelques minutes après avoir quitté les lieux. Il est également établi que le couteau retrouvé sur D______ est l’arme utilisée à l’encontre des deux appelants. En effet, leurs deux profils ADN ont été retrouvés sur celui-ci, tant sur les traces rougeâtres de la lame que sur le manche. La présence du sang de D______ sur le couteau et son étui est d’ailleurs un indice corroborant fortement le fait qu’il a bien été blessé à la rue 1______, puisque l’étui y a été retrouvé. En revanche, la provenance de cette arme n’est pas établie. La découverte de l’étui dans l’appartement où D______ n’est jamais entré pourrait faire penser que l’arme s’y trouvait également ; cela étant, la présence de son sang sur l’étui semble au contraire démontrer qu’il a été en contact avec cet objet. Dans la mesure où les deux appelants ont été blessés avec cette arme dans l’altercation, il est logique que leurs profils d’ADN se retrouvent sur celle-ci. En revanche, les recherches effectuées sur l’étui – où se retrouvent, à différents endroits, les profils ADN des trois protagonistes – ne sont pas concluantes et il n’est pas possible d’en retirer une information déterminante ; aucune des versions des parties n’explique d’ailleurs la présence du profil ADN de F______ sur et dans l’étui. Enfin, dans la mesure où D______ avait aussi un couteau suisse sur lui, il n’apparaît pas logique qu’il ait encore détenu un second couteau. Le témoignage d’un tiers – qui reconnaît l’étui mais pas le couteau – ne permet pas non plus de départager les versions. Ainsi, faute d’élément suffisamment clair permettant d’attribuer la possession initiale du couteau à l’un des trois protagonistes, l’origine de l’arme ne peut que demeurer indécise et cet élément devra, pour chaque appelant, être interprété en vertu du principe in dubio pro reo.</w:t>
      </w:r>
    </w:p>
    <w:p>
      <w:r>
        <w:rPr>
          <w:b/>
        </w:rPr>
        <w:t>E. 2.5.2</w:t>
      </w:r>
    </w:p>
    <w:p>
      <w:r>
        <w:t>Il faut encore établir le rôle de chacun. L’appelant D______ admet avoir donné des coups de couteau à son adversaire, lequel conteste pour sa part l’avoir frappé au moyen de cette arme. Or, si la troisième participante soutient cette dernière version, ces dénégations conjointes sont incompatibles avec les faits établis, puisque D______ a bien été blessé. Il n’est en effet pas soutenable – et l’appelant A______ ne le plaide d’ailleurs pas sérieusement – de considérer que D______ se serait lui-même, seul, infligé les quatre plaies (dont une seule est superficielle) au flanc gauche qui ont été décrites par les médecins. Leur position latérale paraît d’ailleurs difficilement compatible avec une auto-agression, outre le fait que rien ne permettrait d’expliquer un tel geste. Il en découle que ces lésions n’ont pu que lui avoir été infligées par A______, comme le décrit le blessé, étant relevé que tous les protagonistes admettent que l’altercation a essentiellement opposé les deux hommes. Il ne peut en particulier pas être retenu que F______ aurait porté un coup par derrière à D______ : un agresseur droitier positionné derrière lui ne l’aurait vraisemblablement pas atteint au flanc gauche. D______ n’a d’ailleurs jamais évoqué cette possibilité comme crédible mais seulement en réponse à une question dirigée portant sur ce point précis. Ainsi, les coups reçus par D______ lui ont été portés par A______. Celui-ci le contestant contre l’évidence, il n’a jamais expliqué comment il en était venu à donner des coups de couteau à son adversaire. La Cour doit donc examiner le déroulement des faits, à la lumière de l’art. 10 CPP, en tenant compte du fait que, dans la version la plus favorable à A______, le couteau a été apporté sur les lieux par son adversaire. L’absence de toute déclaration de A______ sur les circonstances dans lesquelles il a donné ces coups de couteau complique cette interprétation.</w:t>
      </w:r>
    </w:p>
    <w:p>
      <w:r>
        <w:rPr>
          <w:b/>
        </w:rPr>
        <w:t>E. 2.5.3</w:t>
      </w:r>
    </w:p>
    <w:p>
      <w:r>
        <w:t>D______ a été constant sur le fait que A______ l’a blessé le premier ; contrairement à ce qui a pu être plaidé, il n’a pas non plus varié sur le lieu où les coups ont été porté, affirmant constamment que cela s’était produit sur le palier du 2 ème étage, devant l’appartement de A______ (cf. PV MP du 11 août 2022 C-37ss ; du 30 août 2022 C-47ss, not. C-62). Il a expliqué d’emblée (C-48) s’être défendu avec son sac, lequel a certes été fouillé par la police mais n’a pas été particulièrement examiné, puisque le sac lui-même ne figure pas en inventaire. Il a pu varier, notamment au cours des débats d’appel, sur les coups portés dans la porte de l’appartement ; cet élément est toutefois sans portée. Sa version sur les frappes reçues est convaincante et d’ailleurs logique dans le déroulement des faits puisque les parties s’accordent sur le fait que le couteau a chuté au bas de l’escalier, et que c’est à cet endroit que D______ s’en est servi pour blesser A______ avant de quitter les lieux en emportant l’arme. Il n’a donc pu qu’être blessé avant. Conformément au principe in dubio pro reo (supra 2.5.1), la Cour retient que A______ a réussi à s’emparer du couteau amené par D______ dans l’empoignade qui l’a opposé à ce dernier, sur le palier du 2 ème étage, et qu’il a ensuite porté, au moyen de cette arme, au moins quatre coups à son adversaire, avant que celui-ci ne l’entraîne dans l’escalier et qu’ils ne se retrouvent à nouveau face à face sur le palier du premier étage. En portant de la sorte quatre coups de couteau à son adversaire, en direction du thorax et dans le cadre d’une altercation dynamique, il ne pouvait que savoir qu’il prenait le risque de le blesser gravement compte tenu des organes vitaux situés dans cette région du corps, étant rappelé que l’un d’entre eux (le poumon) a d’ailleurs été atteint. L’absence d’issue fatale tient plus à la chance qu’à une quelconque décision de l’intéressé. Dans ces conditions, le verdict de tentative de meurtre au sens des art. 22 et 111 CP doit être confirmé.</w:t>
      </w:r>
    </w:p>
    <w:p>
      <w:r>
        <w:rPr>
          <w:b/>
        </w:rPr>
        <w:t>E. 2.5.4</w:t>
      </w:r>
    </w:p>
    <w:p>
      <w:r>
        <w:t>D______ a très rapidement admis avoir blessé son adversaire en lui portant deux coups de couteau sur le palier du premier étage. Si F______ affirme avoir vu le couteau plus tôt, A______ ne le soutient pas, puisqu’il explique au contraire ne pas l’avoir aperçu avant les coups portés au moyen de cette arme. Conformément au principe in dubio pro reo (supra 2.5.1), la Cour retient que D______ s’est emparé de l’arme de son adversaire au bas de l’escalier et qu’il lui a ensuite porté deux coups au moyen de ce couteau avant de quitter les lieux. En portant de la sorte deux coups de couteau à son adversaire, en direction du thorax et dans le cadre d’une altercation dynamique, il ne pouvait que savoir qu’il prenait le risque de le blesser gravement compte tenu des organes vitaux situés dans cette région du corps, étant rappelé que l’un d’entre eux (le poumon) a d’ailleurs été atteint. L’absence d’issue fatale tient plus à la chance qu’à une quelconque décision de l’intéressé. Dans ces conditions, le verdict de tentative de meurtre au sens des art. 22 et 111 CP doit également être confirmé.</w:t>
      </w:r>
    </w:p>
    <w:p>
      <w:r>
        <w:rPr>
          <w:b/>
        </w:rPr>
        <w:t>E. 2.6</w:t>
      </w:r>
    </w:p>
    <w:p>
      <w:r>
        <w:t>En l’espèce, un seul des protagonistes se prévaut de la légitime défense, l’autre niant toute responsabilité dans les faits dont il a été reconnu coupable. Cela étant, compte tenu du déroulement des faits, et la Cour devant appliquer le droit d’office, il convient d’examiner les conditions de la légitime défense pour les deux appelants, toujours en tenant compte de la version qui leur est la plus favorable.</w:t>
      </w:r>
    </w:p>
    <w:p>
      <w:r>
        <w:rPr>
          <w:b/>
        </w:rPr>
        <w:t>E. 2.7</w:t>
      </w:r>
    </w:p>
    <w:p>
      <w:r>
        <w:t>A______ s’est emparé de l’arme de son adversaire pour lui porter plusieurs coups de couteau, dans le cadre d’une altercation dynamique. Dans la mesure où l’arme avait été apportée par son adversaire, il pouvait légitimement craindre que celui-ci ne s’en serve à son encontre ; il a néanmoins réussi à s’en emparer et a porté les coups le premier. Le déroulement n’est pas clair, et il est établi que A______ n’a pas été blessé avant de s’en prendre à la vie de D______. Celui-ci s’étant emparé d’un couteau et tentant d’entrer dans son appartement, il se trouvait en présence d’une attaque imminente. Toutefois, dans la mesure où il a réussi à désarmer son adversaire en s’emparant de son arme, il n’était pas nécessaire, pour se défendre, de lui infliger ensuite quatre coups de couteau dans le thorax. Ainsi, lorsqu’il a porté ces coups de couteau, A______ ne se trouvait pas dans une situation de légitime défense. Il n’y a pas non plus lieu de faire application de l’art. 16 al. 1 CP, rien ne justifiant de faire usage d’une telle arme.</w:t>
      </w:r>
    </w:p>
    <w:p>
      <w:r>
        <w:rPr>
          <w:b/>
        </w:rPr>
        <w:t>E. 2.8</w:t>
      </w:r>
    </w:p>
    <w:p>
      <w:r>
        <w:t>Il n’en va pas différemment de D______. En effet, lorsqu’il s’est emparé du couteau lâché par son adversaire, celui-ci ne le menaçait plus. La bagarre était terminée et rien ne justifiait qu’il porte à son tour des coups de couteau à son opposant, en l’absence d’attaque imminente.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Selon l'art. 22 CP, le juge peut atténuer la peine si l'exécution d'un crime ou d'un délit n'est pas poursuivie jusqu'à son terme.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 La mesure de l'atténuation dépend de la proximité du résultat ainsi que des conséquences effectives des actes commis. En d'autres termes, la réduction devra être d'autant plus faible que le résultat était proche et ses conséquences graves (ATF 127 IV 101 consid. 2b p. 103 ; arrêt du Tribunal fédéral 6B_718/2017 du 17 janvier 2018 consid. 3.1).</w:t>
      </w:r>
    </w:p>
    <w:p>
      <w:r>
        <w:rPr>
          <w:b/>
        </w:rPr>
        <w:t>E. 3.3</w:t>
      </w:r>
    </w:p>
    <w:p>
      <w:r>
        <w:t>En l’espèce, les deux appelants s’en sont pris à la vie, bien le plus précieux de l’ordre juridique. Ils ont agi pour des motifs obscurs, par colère ou jalousie, dans le cadre d’une altercation dont l’origine, quelle qu’elle soit, ne justifiait pas un tel recours à la violence. Leurs mobiles sont fondamentalement égoïstes. Ni l’un ni l’autre ne se sont préoccupés de leur victime. Les sentiments que l’un et l’autre nourrissaient pour une même femme ont sans doute joué un rôle, bien que les explications des protagonistes sur ce point soient irréconciliables.</w:t>
      </w:r>
    </w:p>
    <w:p>
      <w:r>
        <w:rPr>
          <w:b/>
        </w:rPr>
        <w:t>E. 3.3.1</w:t>
      </w:r>
    </w:p>
    <w:p>
      <w:r>
        <w:t>La situation personnelle de A______ n’explique en rien l'acte commis. Il se trouvait dans une situation relativement stable, au bénéfice d’une rente AI qui lui procurait un revenu régulier et d’un logement ; toxicomane de longue date sa situation était stabilisée et, comme il le dit lui-même, sa cure de méthadone lui avait permis de sortir du milieu. Il n’a certes pas pris l’initiative de l’altercation, puisque, dans la version retenue en sa faveur, c’est la victime qui s’est présentée à son domicile munie d’une arme. Cela étant, il n’a jamais reconnu les faits, rejetant la responsabilité sur son adversaire et se posant lui-même comme l’unique victime de la situation. Il n’a pas collaboré à l’enquête, niant l’évidence jusqu’aux débats d’appel. Il n’a ainsi montré aucune prise de conscience. Il n’a pas d’antécédent, facteur neutre pour la fixation de la peine. La gravité des faits et de la faute commise excluent le prononcé d’une peine compatible avec le sursis. Ses projets d’avenir sont peu concrets. Il veut s’occuper de sa mère, qui était déjà son soutien lorsque les faits se sont produits : son rôle de fils ne l’a manifestement pas empêché de s’en prendre à la vie d’autrui. Le meurtre est passible d’une peine privative de liberté de cinq à vingt ans. En l’espèce, si l’infraction avait été consommée, la peine encourue se serait située dans le milieu de cette fourchette. Les faits ont toutefois connu une issue heureuse, qui conduit à ne retenir qu’une tentative d’homicide et à l’application de l’atténuante prévue à l’art. 22 CP. Cette atténuation doit néanmoins être faible, l’absence de résultat de l’infraction découlant plus de la chance et du hasard que d’une exécution imparfaite. Les conséquences finalement relativement bénignes de l’acte seront prises en compte dans l’appréciation. Tout bien pesé, au vu de la gravité de la faute, la peine privative de liberté de cinq ans fixée par les premiers juges sanctionne adéquatement l’infraction commise.</w:t>
      </w:r>
    </w:p>
    <w:p>
      <w:r>
        <w:rPr>
          <w:b/>
        </w:rPr>
        <w:t>E. 3.3.2</w:t>
      </w:r>
    </w:p>
    <w:p>
      <w:r>
        <w:t>La situation personnelle de D______ n'explique en rien l'acte commis. Père de famille, il se trouvait certes dans une situation précaire, ayant rompu tout contact avec ses enfants adultes vivant au Portugal, toxicomane fréquentant assidûment la scène de la drogue genevoise, en attente d’une rente AI qu’il n’a obtenue qu’après son arrestation. Il bénéficiait néanmoins d’un logement, de prestations de l’Hospice général et de l'aide de sa famille. Il a un antécédent, qui n’est pas spécifique. D______ n’a pas exprimé d’excuses ; même s’il a admis les faits qui lui sont reprochés, il s’est toujours prévalu de la légitime défense et a minimisé son implication et la dangerosité de ses gestes. Il conteste toute intention homicide ; sa prise de conscience n’est ainsi qu’amorcée. Sa collaboration a été bonne. Il a rapidement reconnu les faits, en présentant certes une version évolutive des événements, revenant toutefois sur certains aspects (porte fracturée par exemple) devant les juridictions de jugement. Ses projets d’avenir sont peu concrets. Il a rompu avec ses enfants et son rôle de père ne l’a manifestement pas empêché de s’en prendre à la vie d’autrui. Il n’avait aucun emploi ni source de revenu au moment de son arrestation et, s’il a depuis été mis au bénéfice d’une rente AI, le montant réduit de celle-ci ne lui permettra pas de subvenir à ses besoins. Le meurtre est passible d’une peine privative de liberté de cinq à vingt ans. En l’espèce, si l’infraction avait été consommée, la peine encourue se serait située dans le milieu de cette fourchette. Les faits ont toutefois connu une issue heureuse, qui conduit à ne retenir qu’une tentative d’homicide et à l’application de l’atténuante prévue à l’art. 22 CP. Cette atténuation devrait être faible, l’absence de résultat de l’infraction découlant plus de la chance et du hasard que d’une exécution imparfaite. S’il a porté moins de coups que son adversaire (deux et non quatre coups pénétrants), leurs conséquences ont été plus graves puisque la vie de A______ a été mise en danger, même si ce danger n’a pas été sérieux grâce à la prise en charge rapide par les services de santé. Tout bien pesé, au vu de la gravité de la faute, la peine privative de liberté de cinq ans fixée par les premiers juges sanctionne adéquatement l’infraction commise. Les appels doivent dès lors être rejetés tant en ce qui concerne le verdict de culpabilité que la peine.</w:t>
      </w:r>
    </w:p>
    <w:p>
      <w:r>
        <w:rPr>
          <w:b/>
        </w:rPr>
        <w:t>E. 4</w:t>
      </w:r>
    </w:p>
    <w:p>
      <w:r>
        <w:t>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meurtre (let. a).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4.1</w:t>
      </w:r>
    </w:p>
    <w:p>
      <w:r>
        <w:t>En conclusion, la rémunération de M e C______ sera arrêtée à CHF 5'756.85 correspondant à 31h30 d'activité (dont 12h20 en 2023) au tarif de CHF 150.-/heure, une demi-heure d’activité au tarif de CHF 110.-/heure, plus la majoration forfaitaire de 10%, une vacation à CHF 75.- et l'équivalent de la TVA, au taux de 7.7% en CHF 156.70 et au taux de CHF 8.1% en CHF 261.05.</w:t>
      </w:r>
    </w:p>
    <w:p>
      <w:r>
        <w:rPr>
          <w:b/>
        </w:rPr>
        <w:t>E. 4.2</w:t>
      </w:r>
    </w:p>
    <w:p>
      <w:r>
        <w:t>La rémunération de M e E______ sera arrêtée à CHF 5'687.15 correspondant à 30h20 d'activité (dont 6h35 en 2023) au tarif de CHF 150.-/heure, plus la majoration forfaitaire de 10%, une vacation à CHF 75.-, l'équivalent de la TVA, au taux de 7.7% en CHF 83.65 et au taux de CHF 8.1% en CHF 323.50 et CHF 200.- au titre des frais de traduction.</w:t>
      </w:r>
    </w:p>
    <w:p>
      <w:r>
        <w:rPr>
          <w:b/>
        </w:rPr>
        <w:t>E. 4.3</w:t>
      </w:r>
    </w:p>
    <w:p>
      <w:r>
        <w:t>Un étranger peut se prévaloir de l'art. 8 par. 1 de la Convention de sauvegarde des droits de l’homme (CEDH) (et de l'art. 13 de la Constitution fédérale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 Il n'y a pas d'atteinte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 3.1 ; arrêts du Tribunal fédéral 6B_396/2022 consid. 6.5 ; 6B_257/2022 consid. 3.3 ; 6B_38/2021 du 14 février 2022 consid. 5.1.2). En l'absence de ménage commun avec son enfant et de relations personnelles entretenues de manière régulière, la seule présence en Suisse de l'enfant du condamné ne fait pas obstacle à l'expulsion (arrêts du Tribunal fédéral 6B_435/2023 du 21 juin 2023 consid. 5.2 ; 6B_822/2021 du 4 juillet 2022 consid. 2.1.1).</w:t>
      </w:r>
    </w:p>
    <w:p>
      <w:r>
        <w:rPr>
          <w:b/>
        </w:rPr>
        <w:t>E. 4.4</w:t>
      </w:r>
    </w:p>
    <w:p>
      <w:r>
        <w:t>Selon l'état de santé de l'intéressé et les prestations de soins disponibles dans l'État d'origine, l'expulsion du territoire suisse peut par ailleurs placer l'étranger dans une situation personnelle grave au sens de l'art. 66a CP ou se révéler disproportionnée sous l'angle de l'art. 8 par. 2 CEDH. Lorsque l'intéressé souffre d'une maladie ou d'une infirmité, il sied d'examiner le niveau d'atteinte à la santé, les prestations médicales qui sont à disposition dans le pays d'origine ainsi que les conséquences négatives que cela peut engendrer pour la personne concernée (ATF 145 IV 455 consid. 9.1). En matière d'expulsion pénale, l'autorité de jugement appelée à prononcer une telle mesure doit examiner si, en raison de l'état de santé du prévenu, la mesure se révèle disproportionnée (arrêts du Tribunal fédéral 6B_822/2021 du 4 juillet 2022 consid. 2.1.2; 6B_1226/2021 du 1 er avril 2022 consid. 2.1.4). 4.5.1. En l’espèce, D______ est au bénéfice d’un permis B en Suisse, pays dans lequel il a vécu depuis 2008 ou 2009 ; il n’a toutefois travaillé en Suisse, à teneur de la décision AI, qu’environ huit ans. L’appelant peut se prévaloir de sa relation avec ses frères et sœurs, voire avec ses neveux et nièces, qui disposent d’un titre de séjour en Suisse. Il ne s’agit toutefois pas de famille nucléaire ; l’appelant ne vit pas avec eux et cette relation n’est donc pas protégée par l’art. 8 CEDH. Par ailleurs, l’appelant ne maîtrise aucune langue nationale et a dû être assisté d’un interprète tout au long de la procédure pénale. Il a passé la majeure partie de sa vie au Portugal, pays dont il parle la langue et qu’il n’a quitté qu’à l’âge adulte. Il présente plusieurs problèmes de santé, attestés par les documents produits à la procédure. Cela étant, l’appelant ne saurait sérieusement prétendre que le système de santé de son pays d’origine n’est pas en mesure de le prendre en charge : le Portugal, état membre de l’Union européenne, dispose sans aucun doute d’une infrastructure médicale moderne et compétente. Les renseignements destinés aux voyageurs, fournis par le Département fédéral des affaires étrangères, le confirment d’ailleurs et l’appelant ne fait valoir aucun élément permettant d’en douter, au-delà de la crainte toute générale qu’il a exprimée[1]. Les liens de l’appelant avec la Suisse n’ont ainsi pas une intensité suffisante pour retenir la réalisation d’une situation personnelle grave. Si un retour dans ce pays après de longues années d’absence ne sera sans doute pas facile, l’appelant pourra néanmoins mettre à profit sa connaissance du pays et de la langue pour s’y réintégrer. La rente AI pourra être transférée conformément aux dispositions régissant la libre circulation des ressortissants européens. 4.5.2. En tout état de cause, même s’il fallait retenir que la première condition de l’art. 66a al. 2 CP était réalisée, l’intérêt public à l’expulsion devrait prévaloir sur les intérêts privés de l’appelant, dès lors qu'il a commis une tentative de meurtre, s’en prenant au bien juridique le plus précieux. La peine privative de liberté de cinq ans dépasse largement une année, ce qui devrait, cas échéant, conduire à la révocation de son autorisation de séjour sur la base de l'art. 62 al. 1 let. b LEI (cf. ATF 139 I 145 consid. 2.1 p. 147, selon lequel constitue une " peine privative de liberté de longue durée " au sens de l'art. 62 al. 1 let. b LEtr [depuis le 1 er janvier 2019 : LEI] toute peine dépassant un an d'emprisonnement). Sa dangerosité est manifeste. L’appelant est mal intégré en Suisse, puisqu’il n’en parle aucune langue nationale et fréquente essentiellement le milieu toxicomane. Son cercle social se résume à sa famille et il ne fait état d’aucune activité associative ou bénévole. 4.5.3. Il n'y a pas lieu d'étendre l’inscription de la mesure d'expulsion prononcée à l'ensemble de l'espace Schengen, le prévenu étant ressortissant d'un État membre.</w:t>
      </w:r>
    </w:p>
    <w:p>
      <w:r>
        <w:rPr>
          <w:b/>
        </w:rPr>
        <w:t>E. 5.1</w:t>
      </w:r>
    </w:p>
    <w:p>
      <w:r>
        <w:t>En qualité de partie plaignante, le lésé peut faire valoir des conclusions civiles déduites de l'infraction par adhésion à la procédure pénale ; le même droit appartient aux proches de la victime (art. 122 al. 1 et 2 CPP). Le tribunal saisi de la cause pénale statue sur les conclusions civiles lorsqu'il rend un verdict de culpabilité à l'encontre du prévenu (art. 126 al. 1 let. a CPP). Selon l'art. 41 al. 1 du code des obligations (CO), celui qui cause, d'une manière illicite, un dommage à autrui, soit intentionnellement, soit par négligence ou imprudence, est tenu de le réparer. L’al. 2 prévoit que celui qui cause intentionnellement un dommage à autrui par des faits contraires aux mœurs est également tenu de le réparer. L’art. 44 CO précise que le juge peut réduire les dommages-intérêts, ou même n’en point allouer, lorsque la partie lésée a consenti à la lésion ou lorsque des faits dont elle est responsable ont contribué à créer le dommage, à l’augmenter, ou qu’ils ont aggravé la situation du débiteur.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ATF 130 III 699 consid. 5.1. ; ATF 129 IV 22 consid. 7.2 ; arrêts du Tribunal fédéral 6B_267/2016 du 15 février 2017 consid. 8.1).</w:t>
      </w:r>
    </w:p>
    <w:p>
      <w:r>
        <w:rPr>
          <w:b/>
        </w:rPr>
        <w:t>E. 5.2</w:t>
      </w:r>
    </w:p>
    <w:p>
      <w:r>
        <w:t>En l'espèce, les deux appelants ont tenté de s’entretuer et se sont respectivement infligés des lésions ; ils sont reconnus coupables de la même infraction au préjudice l’un de l’autre. Ils ont tous deux contribué à la survenance du préjudice de leur partie adverse. Si tant est que les conditions d’une indemnisation de leur dommage et de leur tort moral étaient réalisées, elles le seraient d’égale façon pour l’un et l’autre ; toute indemnité devrait être allouée de façon égale et leurs prétentions respectives s’éteindraient alors par compensation. Il n’y a dès lors pas lieu d’examiner plus avant les prétentions civiles des appelants, qui en seront déboutés. Partant, le jugement entrepris sera également confirmé sur ce point.</w:t>
      </w:r>
    </w:p>
    <w:p>
      <w:r>
        <w:rPr>
          <w:b/>
        </w:rPr>
        <w:t>E. 6</w:t>
      </w:r>
    </w:p>
    <w:p>
      <w:r>
        <w:t>Les motifs ayant conduit les premiers juges à prononcer, par ordonnances séparées du 19 septembre 2023, le maintien des appelants en détention pour des motifs de sûreté sont toujours d'actualité, ce que ceux-ci ne contestent au demeurant pas, de sorte que la mesure sera reconduite mutatis mutandis (ATF 139 IV 277 consid. 2.2 à 2.3).</w:t>
      </w:r>
    </w:p>
    <w:p>
      <w:r>
        <w:rPr>
          <w:b/>
        </w:rPr>
        <w:t>E. 7</w:t>
      </w:r>
    </w:p>
    <w:p>
      <w:r>
        <w:t>Les appelants étant déboutés de leurs conclusions en acquittement, il n’y a pas matière à application de l’art. 429 CPP.</w:t>
      </w:r>
    </w:p>
    <w:p>
      <w:r>
        <w:rPr>
          <w:b/>
        </w:rPr>
        <w:t>E. 8</w:t>
      </w:r>
    </w:p>
    <w:p>
      <w:r>
        <w:t>Les appels principaux étant rejetés, les frais de la procédure seront mis à la charge des appelants, à raison de la moitié chacun. Compte tenu de l’activité minime occasionnée, il n’y pas lieu de percevoir des frais en lien avec l'appel de F______ et l’appel-joint du MP (art. 428 CPP).</w:t>
      </w:r>
    </w:p>
    <w:p>
      <w:r>
        <w:rPr>
          <w:b/>
        </w:rPr>
        <w:t>E. 9</w:t>
      </w:r>
    </w:p>
    <w:p>
      <w:r>
        <w:t>9.1.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9.4</w:t>
      </w:r>
    </w:p>
    <w:p>
      <w:r>
        <w:t>En l'occurrence les deux conseils constitués à la défense des appelants ont fait valoir des activités qui sont incluses dans la majoration forfaitaire, qui seront dès lors déduites de leur notes d’honoraires. Il en va ainsi en particulier de la prise de connaissance du jugement de première instance, de la rédaction des annonces et déclarations d’appel (qui n’ont pas à être motivées), ainsi que des observations sur les appels des autres parties. Les débats d’appel seront pris en compte à raison de leur durée effective.</w:t>
      </w:r>
    </w:p>
    <w:p>
      <w:r>
        <w:rPr>
          <w:b/>
        </w:rPr>
        <w:t>E. 9.4.3</w:t>
      </w:r>
    </w:p>
    <w:p>
      <w:r>
        <w:t>M e H______ n’ayant pas fait parvenir de décompte dans le temps imparti, une indemnité de CHF 177.70, correspondant à une heure d’activité pour s’entretenir avec sa mandante (non détenue) au sujet du retrait de l’appel, plus la majoration forfaitaire au taux de 10% compte tenu de l’activité exercée en première instance et la TVA au taux de 7.7% en CHF 12.70.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