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P/16719/2019 vom 7. Januar 2021</w:t>
      </w:r>
    </w:p>
    <w:p>
      <w:r>
        <w:t>GE Cour de justice, 2021-01-07, FR</w:t>
      </w:r>
    </w:p>
    <w:p>
      <w:r>
        <w:rPr>
          <w:b/>
        </w:rPr>
        <w:t xml:space="preserve">Quelle: </w:t>
      </w:r>
      <w:r>
        <w:t>https://mcp.opencaselaw.ch/entscheid/ge_gerichte_P_16719_2019</w:t>
      </w:r>
    </w:p>
    <w:p>
      <w:r>
        <w:t>FR: GE_GERICHTE P/16719/2019 du 7 janvier 2021</w:t>
      </w:r>
    </w:p>
    <w:p>
      <w:r>
        <w:t>IT: GE_GERICHTE P/16719/2019 del 7 gennaio 2021</w:t>
      </w:r>
    </w:p>
    <w:p>
      <w:pPr>
        <w:pStyle w:val="Heading2"/>
      </w:pPr>
      <w:r>
        <w:t>Regeste</w:t>
      </w:r>
    </w:p>
    <w:p>
      <w:r>
        <w:t>AVOCAT D'OFFICE;COMPLEXITE | CPP.132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L'art. 132 al. 1 let. b CPP soumet le droit à l'assistance d'un défenseur d'office à la double condition que le prévenu soit indigent et que la sauvegarde de ses intérêts le justifie. Le recours à un avocat d'office s'impose lorsque la cause n'est pas de peu de gravité; ainsi en va-t-il, notamment, quand le prévenu est passible d'une peine privative de liberté de plus de quatre mois ou d'une peine pécuniaire de plus de 120 jours-amende (art. 132 al. 2 et 3 CPP). En revanche, lorsque l'infraction n'est manifestement qu'une bagatelle, en ce sens que son auteur ne s'expose qu'à une amende ou à une peine privative de liberté de courte durée, le requérant ne peut prétendre à l'assistance judiciaire, y compris sous l'angle des art. 29 al. 3 Cst féd. et 6 ch. 3 let. c CEDH (ATF 143 I 164 consid. 3.5; arrêt du Tribunal fédéral 1B_93/2018 du 29 mai 2018 consid. 3.1). Le recours à un avocat s'impose également lorsque la cause présente, sur le plan des faits ou du droit, des difficultés que le prévenu, seul, ne pourrait pas surmonter (art. 132 al. 2 CPP). Pour évaluer si tel est le cas, il sied de se fonder tant sur des éléments objectifs, tenant principalement à la nature de la cause - en se demandant si une personne raisonnable et de bonne foi, qui présenterait les mêmes caractéristiques, mais disposerait de ressources suffisantes, ferait ou non appel à un avocat, ou encore si la subsomption des faits donne lieu à des doutes, etc. -, que sur des éléments subjectifs, fondés sur l'aptitude concrète du requérant à mener seul la procédure - en en tenant compte, notamment, de son âge, de sa formation, de sa plus ou moins grande familiarité avec la pratique judiciaire et de sa maîtrise de la langue de la procédure - (arrêt du Tribunal fédéral 1B_93/2018 précité).</w:t>
      </w:r>
    </w:p>
    <w:p>
      <w:r>
        <w:rPr>
          <w:b/>
        </w:rPr>
        <w:t>E. 3.2</w:t>
      </w:r>
    </w:p>
    <w:p>
      <w:r>
        <w:t>En l'espèce, le recourant semble toujours émarger à l'aide sociale de sorte que la première condition posée par l'art. 132 al. 1 let b CPP apparaît réalisée. Tel n'est en revanche, pas le cas de la seconde. En effet, la cause est de peu de gravité. Ainsi, le Ministère public a condamné le prévenu à une peine pécuniaire de 40 jours-amende, à CHF 30.- l'unité, avec sursis. Or, même si l'on tient compte d'un éventuel risque d'aggravation de cette sanction par le Tribunal de police, l'intéressé reste, au vu du type d'infraction concernée, concrètement passible d'une peine sensiblement inférieure au seuil fixé par l'art. 132 al. 3 CPP. Ensuite, le dossier ne présente, sous l'angle des faits, aucune difficulté. Les faits reprochés sont clairement circonscrits et compréhensibles. Du point de vue juridique, l'infraction concernée est facile à appréhender même pour un profane. L'existence de difficultés objectives doit donc être niée. Sur le plan subjectif, le prévenu a parfaitement saisi les enjeux de la procédure, ayant été à même, tout au long de l'instruction, de se défendre seul, respectivement de faire valoir ses droits de façon appropriée (capacité de s'exprimer clairement lors de son audition à la police et de s'opposer tant à l'ordonnance pénale qu'au refus de lui désigner un défenseur d'office). Il s'ensuit que les conditions d'une défense d'office ne sont pas réalisées.</w:t>
      </w:r>
    </w:p>
    <w:p>
      <w:r>
        <w:rPr>
          <w:b/>
        </w:rPr>
        <w:t>E. 4</w:t>
      </w:r>
    </w:p>
    <w:p>
      <w:r>
        <w:t>Infondé, le recours sera donc rejeté et la décision attaquée, confirmée.</w:t>
      </w:r>
    </w:p>
    <w:p>
      <w:r>
        <w:rPr>
          <w:b/>
        </w:rPr>
        <w:t>E. 5</w:t>
      </w:r>
    </w:p>
    <w:p>
      <w:r>
        <w:t>La procédure est gratuite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