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P/16697/2017 vom 30. Oktober 2018</w:t>
      </w:r>
    </w:p>
    <w:p>
      <w:r>
        <w:t>GE Cour de justice, 2018-10-30, FR</w:t>
      </w:r>
    </w:p>
    <w:p>
      <w:r>
        <w:rPr>
          <w:b/>
        </w:rPr>
        <w:t xml:space="preserve">Quelle: </w:t>
      </w:r>
      <w:r>
        <w:t>https://mcp.opencaselaw.ch/entscheid/ge_gerichte_P_16697_2017</w:t>
      </w:r>
    </w:p>
    <w:p>
      <w:r>
        <w:t>FR: GE_GERICHTE P/16697/2017 du 30 octobre 2018</w:t>
      </w:r>
    </w:p>
    <w:p>
      <w:r>
        <w:t>IT: GE_GERICHTE P/16697/2017 del 30 ottobre 2018</w:t>
      </w:r>
    </w:p>
    <w:p>
      <w:pPr>
        <w:pStyle w:val="Heading2"/>
      </w:pPr>
      <w:r>
        <w:t>Regeste</w:t>
      </w:r>
    </w:p>
    <w:p>
      <w:r>
        <w:t>DÉSISTEMENT(DROIT PÉNAL); PRÉSOMPTION D'INNOCENCE ; MEURTRE ; FIXATION DE LA PEINE ; CONCOURS D'INFRACTIONS ; RESPONSABILITÉ RESTREINTE(DROIT PÉNAL) ; MESURE(DROIT PÉNAL) ; TRAITEMENT AMBULATOIRE ; FRAIS JUDICIAIRES ; DÉFENSE D'OFFICE | CP.111; CP.23.al1; CP.181; CP.126.al1; CP.47; CP.19.al2; CP.48a.al1; CP.49.al1; CP.56.al1; CP.57.al1; CP.63.al2; CPP.428; CPP.135.al1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 concernent concerne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dans JdT 2012 IV p. 79 ; arrêt du Tribunal fédéral 6B_1306/2017 du 17 mai 2018 consid. 2.1.1 ; M. NIGGLI/ M. HEER/ H. WIPRÄCHTIGER, Strafprozessordnung/ Jugend-strafprozessordnung, Basler Kommentar StPO / JStPO , 2 e éd., Bâle 2014, n. 83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2.3</w:t>
      </w:r>
    </w:p>
    <w:p>
      <w:r>
        <w:t>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3</w:t>
      </w:r>
    </w:p>
    <w:p>
      <w:r>
        <w:t>3.1.1. L'art. 111 CP réprime le comportement de celui qui aura intentionnellement tué une personne. 3.1.2.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 ATF 133 IV 9 = JdT 2007 I 573 consid. 4.1 ; 131 IV 1 consid. 2.2 ; 130 IV 58 consid. 8.2).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134 IV 26 , consid. 3.2.2. = JdT 2009 IV 43 ; ATF 133 IV 9 , consid. 4.1 = JdT 2007 I 573 ;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137 IV 1 consid. 4.2.3 p. 4 ; ATF 133 IV 222 consid. 5.3 et les arrêts cités). Cette interprétation raisonnable doit prendre en compte le degré de probabilité de la survenance du résultat de l'infraction reprochée, tel qu'il apparaît à la lumière des circonstances et de l'expérience de la vie (ATF 133 IV 1 consid. 4.6). En ce qui concerne le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(arrêt du Tribunal fédéral 6B_1250/2013 du 24 avril 2015 commenté in forumpoenale 6/2015). En pratique, on retiendra le meurtre par dol éventuel lorsque l'on se trouve en mesure d'affirmer, compte tenu de l'ensemble des circonstances du cas d'espèce, que l'auteur "s'est décidé contre le bien juridique" (ATF 133 IV 9 , consid. 4.4 = JdT 2007 I 573). 3.1.3.1. Si le comportement volontaire de l'auteur ne cause pas la mort d'autrui, toutes les formes de tentative sont concevables (art. 22 à 23 CP). Selon la jurisprudence, il y a tentative, au sens de l'art. 22 al. 1 CP, lorsque l'auteur a réalisé les éléments subjectifs de l'infraction et ainsi manifesté sa décision de la commettre (ATF 131 IV 100 consid. 7.2.; 128 IV 18 consid. 3b; 122 IV 246 consid. 3a). Il y a donc tentative de meurtre, lorsque l'auteur, agissant intentionnellement, au moins par dol éventuel, commence l'exécution de cette infraction, manifestant ainsi sa décision de tuer, sans que le résultat ne se produise. La nature de la lésion subie par la victime et sa qualification d'un point de vue objectif est sans pertinence pour juger si le prévenu s'est rendu coupable de tentative de meurtre. Il n'est ainsi pas même nécessaire que la victime soit blessée pour qu'une tentative de meurtre soit retenue dans la mesure où la condition subjective de l'infraction est remplie (arrêts du Tribunal fédéral 6B_246/2012 du 10 juillet 2012 consid. 1.3 et 6B_741/2010 du 9 novembre 2010 consid. 2.2.4). Ainsi, il importe peu que la vie de la victime n'ait été que potentiellement, et non concrètement, mise en danger. L'auteur ne peut ainsi contester la réalisation d'une tentative de meurtre au motif que la victime n'a subi que des lésions corporelles simples. Il importe en revanche que les coups portés aient objectivement exposé la victime à un risque de mort (arrêt du Tribunal fédéral 6B_106/2015 du 10 juillet 2015 consid. 3.2). 3.1.3.2. Il y a désistement si l'auteur a renoncé, de sa propre initiative, à poursuivre l'activité punissable jusqu'à son terme (art. 23 al. 1 CP; ATF 108 IV 104 consid. 2b). Le droit fédéral n'exclut pas l'éventualité d'une tentative de meurtre par dol éventuel, suivi de désistement (cessation volontaire de l'action en cours). Par définition, l'auteur qui se désiste prend une première décision - consciente et volontaire - de passer à l'acte en s'accommodant de toutes ses conséquences, puis, dans un second temps, une deuxième décision - spontanée - de cesser la réalisation de l'action. Il n'est donc pas inconcevable que, dans un premier temps, le recourant se soit accommodé de la mort de ses victimes, puis qu'il ait renoncé à son activité coupable, par exemple par remords ou par crainte de la peine (arrêt du Tribunal fédéral 6B_996/2009 du 15 mars 2010, consid. 3.1). 3.1.4. La jurisprudence a admis qu'il pouvait y avoir danger de mort lorsque l'auteur étranglait sa victime avec une certaine intensité (arrêt du Tribunal fédéral 6B_87/2013 du 13 mai 2013, consid. 3.1). 3.1.5. L'étranglement ou strangulation se définit comme un acte de violence consistant en une constriction exercée directement autour ou au-devant du cou, ayant pour effet, en s'opposant au passage de l'air, de suspendre brusquement la respiration, respectivement comme une compression des voies respiratoires provoquant un arrêt de leur fonction (arrêt du Tribunal fédéral 6B_849/2008 du 26 janvier 2009, consid. 2.3). 3.1.6. Dans l'ATF 124 IV 53 (consid. 2),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arrêt 6B_996/2009 du 15 mars 2010 consid. 3.3; 6S.40/2004 du 6 avril 2004 consid. 2.1; 6P.96/2001 du 15 octobre 2001 consid. 6b). 3.1.7. Dans une affaire dans laquelle l'auteur avait étranglé sa victime avec une main et plaqué son autre main devant la bouche de cette dernière, jusqu'à ce qu'elle perde connaissance, le Tribunal fédéral a considéré qu'une telle strangulationrevêtait une intensité suffisante pour entraîner la mort et retenu le chef de tentative de meurtre par dol éventuel (arrêt du Tribunal fédéral 6B_996/2009 du 15 mars 2010, consid. 3.3.2).</w:t>
      </w:r>
    </w:p>
    <w:p>
      <w:r>
        <w:rPr>
          <w:b/>
        </w:rPr>
        <w:t>E. 3.2</w:t>
      </w:r>
    </w:p>
    <w:p>
      <w:r>
        <w:t>En l'espèce, l'appelant a reconnu être l'auteur des lésions causées à son épouse le 15 août 2017, soit en particulier l'avoir fait chuter, puis, alors qu'il se trouvait sur elle, l'avoir étranglée avec ses deux mains, pendant une durée qu'il a lui-même évaluée entre 10 et 15 secondes. Il peut également être tenu pour établi que l'appelant a alors hurlé " je vais te tuer ", à plusieurs reprises, les déclarations de l'intimée étant constantes sur ce point et l'intéressé ayant déclaré qu'il était " possible " qu'il ait proféré ces menaces, alors qu'il était " à bout " et avait ses mains autour du cou de sa victime. Bien que l'intimée ait déclaré dans un premier temps que l'appelant ne l'avait relâchée qu'après avoir reçu un coup à l'entrejambe, les parties se sont finalement accordées pour dire que celui-ci avait spontanément relâché sa prise, ce qui avait permis à la victime de s'enfuir. Se pose alors la question de savoir si, en agissant de la sorte, l'appelant avait l'intention de tuer son épouse ou uniquement de lui infliger des lésions corporelles. Les multiples lésions constatées dans le rapport médical versé à la procédure, compatibles avec le déroulement des faits décrit par les parties, n'ont pas mis en danger la vie de l'intimée, ledit rapport faisant par ailleurs mention de l'" absence de signe de gravité ". Cela étant, les dermabrasions et ecchymoses observées au niveau du visage et du cou, ainsi que la plaie au niveau de la face interne de la lèvre inférieure corroborent la version des faits de l'intimée selon laquelle l'appelant lui aurait serré le cou avec une main et maintenu son autre main sur sa bouche et son nez pour l'empêcher de respirer. A cela s'ajoute que l'appelant se trouvait alors assis sur sa victime, ce qui a manifestement contribué à la faire suffoquer, cette dernière décrivant - de manière crédible - avoir eu la vision troublée, avant de voir un voile noir et de perdre connaissance. Une telle perte de connaissance a par ailleurs été qualifiée de " probable " dans le rapport médical établi le jour des faits. L'appelant reconnait l'avoir perçue et avoir sur ce lâché son emprise, en observant les yeux de son épouse. En serrant ainsi le cou de sa victime et en lui obstruant les voies respiratoires pendant une durée non négligeable de 10 à 15 secondes au minimum, alors qu'il se trouvait assis sur elle, l'appelant a manifestement pris le risque d'une issue fatale, jusqu'à son désistement, intervenu, d'après ses propres déclarations, lorsqu'il s'est rendu compte qu'il n'avait pas le droit d'ôter la vie de son épouse, par égard notamment à la fille de cette dernière. Il découle ainsi des scrupules exprimés par l'appelant que celui-ci avait bel et bien, dans un premier temps, compris et accepté l'éventualité de causer la mort de son épouse en l'étranglant, ce qui ressort d'ailleurs des menaces de mort proférées à l'encontre de cette dernière pendant les faits. La culpabilité de l'appelant du chef de désistement de meurtre (art. 23 al. 1 cum 111 CP doit ainsi être confirmée et l'appel rejeté sur ce point.</w:t>
      </w:r>
    </w:p>
    <w:p>
      <w:r>
        <w:rPr>
          <w:b/>
        </w:rPr>
        <w:t>E. 4</w:t>
      </w:r>
    </w:p>
    <w:p>
      <w:r>
        <w:t>4.1.1. A l'aune de l'art. 2 CP, la réforme du droit des sanctions, entrée en vigueur au 1 er janvier 2018, est globalement moins favorable à la personne condamnée qui pourra ainsi revendiquer l'application du droit en vigueur au 31 décembre 2017, si les actes qu'il a commis l'ont été sous l'empire de ce droit, ce qui est le cas en l'espèce.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4.1.3. Aux termes de l'art. 19 al. 2 CP, le juge atténue la peine si, au moment d'agir, l'auteur ne possédait que partiellement la faculté d'apprécier le caractère illicite de son acte ou de se déterminer d'après cette appréciation. Les mesures prévues aux art. 59 à 61, 63, 64, 67, 67b et 67e CP peuvent cependant être ordonnées (art. 19 al. 3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(ATF 136 IV 55 consid. 5.5, 5.6 et 6.1 ; arrêt du Tribunal fédéral 6B_975/2015 du 7 avril 2016 consid. 6.1.2). La réduction de la peine n'est que la conséquence de la faute plus légère (ATF 136 IV 55 consid. 5.5, 5.6 et 6.1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 22 al. 1 CP (ATF 136 IV 55 consid. 5.7 ; arrêt du Tribunal fédéral 6B_616/2015 du 5 avril 2016 consid. 2.3). En d'autres termes, le juge doit prendre en compte la peine qui aurait dû être prononcée en cas de pleine responsabilité pour l'atténuer en fonction du degré de diminution de la responsabilité, et ce, même si l'acte apparaît objectivement grave. En effet, la gravité d'une infraction ne peut être opposée à une atténuation de la responsabilité (ATF 134 IV 132 , consid. 2, JdT 2009 IV 3 ; ATF 118 IV, consid. 2, JdT 1992 I 778). Le juge qui admet une responsabilité restreinte doit réduire la peine en conséquence, mais n'est pas tenu d'opérer une réduction linéaire (ATF 127 IV 101 , consid. 2b ; ATF 123 IV 49 , consid. 2). Il dispose d'un large pouvoir d'appréciation lorsqu'il détermine l'effet de la diminution de la responsabilité sur la faute (subjective) au vu de l'ensemble des circonstances (arrêts du Tribunal fédéral 6B_1207/2014 du 25 novembre 2015, consid. 2.3.1 et 6B_42/2015 du 22 juillet 2015, consid. 2.3.1). Il peut appliquer l'échelle suivante : une faute (objective) très grave peut être réduite à une faute grave à très grave en raison d'une diminution légère de la responsabilité. La réduction pour une telle faute très grave peut conduire à retenir une faute moyenne à grave en cas de diminution moyenne et à une faute légère à moyenne en cas de forte diminution ( ibidem ). Bien qu'une certaine corrélation entre la diminution de la responsabilité constatée et ses conséquences sur la peine doive exister, une diminution légère, respectivement moyenne ou forte, de la responsabilité n'entraîne pas nécessairement une réduction de 25%, respectivement de 50% ou de 75% (M. DUPUIS / L. MOREILLON / C. PIGUET / S. BERGER / M. MAZOU / V. RODIGARI, Petit commentaire du Code pénal , 2e éd., Bâle 2017, n. 21 et 22, ad art. 19 CP,). 4.1.4. En cas de désistement au sens de l'art. 23 CP, le juge peut soit atténuer la peine en vertu de l'art. 48a CP, soit exempter l'auteur de toute peine. Le choix du juge ne doit pas dépendre de la nature achevée ou inachevée de la tentative, mais de la valeur morale des motifs du désistement (M. DUPUIS et al. , op. cit. , n. 11, ad art. 23 et références citées). 4.1.5. Aux termes de l'art. 48 a al. 1 CP, applicable aux articles 19 al. 2 et 23 al. 2 CP, le juge qui atténue la peine n'est pas lié par le minimum légal de la peine prévue pour l'infraction (M. DUPUIS / L. MOREILLON / C. PIGUET / S. BERGER / M. MAZOU / V. RODIGARI, Petit commentaire du Code pénal , 2e éd., Bâle 2017, n. 1 et 2 ad art. 48a). La mesure de l'atténuation au sens de l'art. 48 a CP dépend notamment de la proximité du résultat et des conséquences effectives des actes commis (arrêt du Tribunal fédéral 6B_890/2015 du 16 décembre 2015 consid. 2.5.1). La peine adaptée à l'acte et à l'auteur doit en principe être fixée à l'intérieur du cadre légal ordinaire de l'infraction la plus grave.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4.1.6.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4.2.1. L'art. 111 CP prévoit le prononcé d'une peine privative de liberté de cinq ans au moins. 4.2.2. En l'espèce, la faute de l'appelant est très grave. Il n'a pas hésité à s'en prendre violemment à son épouse, sans véritable raison, si ce n'est parce qu'il était énervé et vexé que celle-ci ait contacté sa propre mère pour se plaindre de son comportement. Sa réaction s'avère d'autant plus disproportionnée qu'elle a entraîné des conséquences physiques et psychologiques non négligeables sur sa victime qu'il a étranglée au point qu'elle perde connaissance. Il y a lieu de tenir compte de la renonciation volontaire et spontanée par l'appelant à la poursuite de la commission de l'infraction. C'est donc à juste titre que les premiers juges l'ont mis au bénéfice de l'art. 23 CP. En outre, conformément aux conclusions de l'expertise psychiatrique qui ne prête pas le flanc à la critique, sa responsabilité était moyennement restreinte au moment d'agir de sorte que sa culpabilité doit être atténuée dans la même mesure. L'appelant, qui a présenté des excuses à l'intimée, s'est montré collaborant, dès sa première audition à la police. Sa prise de conscience n'est toutefois que partielle, dans la mesure où il a minimisé ses actes lors de l'audience de première instance, position dans laquelle il persiste en appel. Il n'a pas d'antécédent spécifique. La peine privative de liberté de 36 mois prononcée par les premiers juges - ce qui revient à dire qu'en l'absence de responsabilité moyennement restreinte, la condamnation aurait été de l'ordre de cinq à six ans - est adéquate au regard des éléments qui précèdent et sera confirmée. La non révocation du sursis du 11 mars 2016 est acquise à l'appelant (art. 391 al. 2 CPP) et la prolongation du délai d'épreuve de nature à le dissuader de la commission de nouvelles infractions.</w:t>
      </w:r>
    </w:p>
    <w:p>
      <w:r>
        <w:rPr>
          <w:b/>
        </w:rPr>
        <w:t>E. 5</w:t>
      </w:r>
    </w:p>
    <w:p>
      <w:r>
        <w:t>5. 1. L'art. 56 al. 1 CP prévoit qu'une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5.2</w:t>
      </w:r>
    </w:p>
    <w:p>
      <w:r>
        <w:t>A teneur de l'art. 57 al. 1 CP, si les conditions sont remplies aussi bien pour le prononcé d'une peine que pour celui d'une mesure, le juge ordonne les deux sanctions.</w:t>
      </w:r>
    </w:p>
    <w:p>
      <w:r>
        <w:rPr>
          <w:b/>
        </w:rPr>
        <w:t>E. 5.3</w:t>
      </w:r>
    </w:p>
    <w:p>
      <w:r>
        <w:t>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arrêts du Tribunal fédéral 6B_992/2017 du 11 décembre 2017 consid. 2.1.2 ; 6B_53/2017 du 2 mai 2017 consid. 1.3).</w:t>
      </w:r>
    </w:p>
    <w:p>
      <w:r>
        <w:rPr>
          <w:b/>
        </w:rPr>
        <w:t>E. 5.4</w:t>
      </w:r>
    </w:p>
    <w:p>
      <w:r>
        <w:t>Selon la jurisprudence, sursis, y compris partiel,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p. 187 s. ; arrêts du Tribunal fédéral 6B_1227/2015 du 29 juillet 2016 consid. 1.2.4 ; 6B_94/2015 du 24 septembre 2015 consid. 1.1 ; 6B_71/2012 du 21 juin 2012 consid. 6).</w:t>
      </w:r>
    </w:p>
    <w:p>
      <w:r>
        <w:rPr>
          <w:b/>
        </w:rPr>
        <w:t>E. 5.5</w:t>
      </w:r>
    </w:p>
    <w:p>
      <w:r>
        <w:t>En l'espèce, selon les conclusions de l'expertise psychiatrique, qui apparaissent cohérentes et convaincantes, l'appelant souffre d'un grave trouble mental sous forme d'un syndrome dépressif en lien avec une personnalité pathologique de type " borderline " de sévérité élevée et d'une dépendance à l'alcool de sévérité moyenne. Un risque de réitération existe, en particulier dans un contexte de violences conjugales, si le couple devait se reformer. Afin de palier ce risque, les experts préconisent un traitement portant sur le trouble de la personnalité, la vulnérabilité à la dépression et la dépendance à l'alcool, une mesure ambulatoire apparaissant suffisante. Par conséquent, les conditions de l'art. 63 CP étant réalisées, il se justifie, sur le principe, d'ordonner une mesure ambulatoire en faveur de l'appelant, qui s'y est d'ailleurs montré favorable. Le prononcé de cette mesure exclut l'octroi du sursis, fût il partiel. La suspension de l'exécution de la peine privative de liberté au profit du traitement ambulatoire, conformément à l'art. 63 al. 2 CP lui est par contre acquise (art. 391 al. 2 CPP).</w:t>
      </w:r>
    </w:p>
    <w:p>
      <w:r>
        <w:rPr>
          <w:b/>
        </w:rPr>
        <w:t>E. 6</w:t>
      </w:r>
    </w:p>
    <w:p>
      <w:r>
        <w:t>L'appelant, qui succombe, supportera les frais de la procédure envers l'État, comprenant un émolument de CHF 2'000.- (art. 428 CPP).</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dans JdT 2014 IV 79). La juridiction d'appel est partant compétente, au sens de l'art. 135 al. 2 CPP, pour statuer sur l'activité postérieure à sa saisine. 7.2.1.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 mais TVA en sus en cas d'assujettissement. 7.2.2. À teneur de la jurisprudence, est décisif pour fixer la rémunération de l'avocat, le nombre d'heures nécessaires pour assurer la défense d'office du prévenu (arrêt du Tribunal fédéral 2C_509/2007 du 19 novembre 2007 consid. 4).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dont la déclaration d'appel,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7.3.1. L'état de frais produit par M e C______ est adéquat et conforme auxdits principes. L'indemnité qui lui est due sera ainsi arrêtée à CHF 2'310.- correspondant à 10h30 d'activité au tarif de CHF 200.-/heure (CHF 2'100.-), plus une majoration forfaitaire de 10% (CHF 210.-), compte tenu de l'activité indemnisée en première instance. Il n'y a pas lieu à couverture de la TVA, à défaut d'apparent assujettissement de M e C______ laquelle a indiqué s'être mise très temporairement à son compte. 7.3.2. L'état de frais produit par M e E______ est également adéquat et conforme aux principes exposés. En conséquence, l'indemnité qui lui est due sera arrêtée à CHF 1'292.40 correspondant à 5h d'activité au tarif de CHF 200.-/heure (CHF 1'000.-), plus la majoration forfaitaire de 20% (CHF 200.-), à l'équivalent de la TVA au taux de 7.7% en CHF 92.40.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