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P/16667/2016 vom 20. Januar 2022</w:t>
      </w:r>
    </w:p>
    <w:p>
      <w:r>
        <w:t>GE Cour de justice, 2022-01-20, FR</w:t>
      </w:r>
    </w:p>
    <w:p>
      <w:r>
        <w:rPr>
          <w:b/>
        </w:rPr>
        <w:t xml:space="preserve">Quelle: </w:t>
      </w:r>
      <w:r>
        <w:t>https://mcp.opencaselaw.ch/entscheid/ge_gerichte_P_16667_2016</w:t>
      </w:r>
    </w:p>
    <w:p>
      <w:r>
        <w:t>FR: GE_GERICHTE P/16667/2016 du 20 janvier 2022</w:t>
      </w:r>
    </w:p>
    <w:p>
      <w:r>
        <w:t>IT: GE_GERICHTE P/16667/2016 del 20 gennaio 2022</w:t>
      </w:r>
    </w:p>
    <w:p>
      <w:pPr>
        <w:pStyle w:val="Heading2"/>
      </w:pPr>
      <w:r>
        <w:t>Regeste</w:t>
      </w:r>
    </w:p>
    <w:p>
      <w:r>
        <w:t>RETRAIT(VOIE DE DROIT) | CPP.386.al2</w:t>
      </w:r>
    </w:p>
    <w:p>
      <w:pPr>
        <w:pStyle w:val="Heading2"/>
      </w:pPr>
      <w:r>
        <w:t>Volltext</w:t>
      </w:r>
    </w:p>
    <w:p>
      <w:r>
        <w:t>Genève Cour de Justice (Cour pénale) Chambre pénale d'appel et de révision 20.01.2022 P/16667/2016</w:t>
      </w:r>
    </w:p>
    <w:p>
      <w:r>
        <w:t>RETRAIT(VOIE DE DROIT) | CPP.386.al2</w:t>
      </w:r>
    </w:p>
    <w:p>
      <w:r>
        <w:t>P/16667/2016 AARP/4/2022 du 20.01.2022 sur JTCO/120/2020 ( PENAL ) , RETRAIT PARTIE Descripteurs : RETRAIT(VOIE DE DROIT) Normes : CPP.386.al2 RÉPUBLIQUE ET CANTON DE GENÈVE POUVOIR JUDICIAIRE P/16667/2016 AARP/ 4/2022 COUR DE JUSTICE Chambre pénale d'appel et de révision Arrêt du 20 janvier 2022 Entre A______ , domicilié ______[GE], comparant par M e Laurent STRAWSON, avocat, rue De-Beaumont 3, case postale 24, 1211 Genève 12, appelant, contre le JTCO/120/2020 rendu le 18 septembre 2020 par le Tribunal correctionnel, et B______ , domicilié, c/o C______, rue ______ [GE], comparant par M e D______, avocate, ______, Genève, LE MINISTÈRE PUBLIC de la République et canton de Genève, route de Chancy 6B, case postale 3565, 1211 Genève 3, intimés. Vu le jugement du Tribunal correctionnel du 18 septembre 2020 ; Vu l'annonce et la déclaration d'appel de A______ ; Vu le retrait d'appel de A______ intervenu par courrier de son conseil du 22 décembre 2021 ; Considérant que le retrait est intervenu en temps utile (art. 386 al. 2 CPP) ; Que l'art. 428 al. 1 CPP dispose que la partie qui retire son appel est considérée avoir succombé ; Que M e D______ sera indemnisée pour la procédure d'appel sur la base de l'état de frais déposé, lequel satisfait, pris globalement, aux exigences légales et jurisprudentielles (art. 135 CPP), sous réserve du taux pour la majoration forfaitaire, lequel doit être fixé à 10% au vu de l'importance de l'activité déployée, celle-ci excédant 30 heures ( cf. ACPR/352/2015 du 25 juin 2015 ; art. 16 al. 2 RAJ) ; Que sa rémunération sera partant arrêtée à CHF 710.80, correspondant à trois heures d'activité au tarif de CHF 200.-/heure (CHF 600.-), plus la majoration forfaitaire de 10% (CHF 60.-) et la TVA au taux de 7.7% (CHF 50.80). * * * * * PAR CES MOTIFS, LA COUR : Prend acte du retrait de l'appel. Condamne A______ aux frais de la procédure d'appel par CHF 735.-, qui comprennent un émolument de CHF 500.-. Fixe à CHF 710.80 l'indemnité de M e D______, défenseure d'office de B______, pour la procédure d'appel. Notifie le présent arrêt aux parties. Le communique, pour information, au Tribunal correctionnel. Le greffier : Alexandre DA COSTA La présidente : Catherine GAVIN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 ETAT DE FRAIS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160.00 Procès-verbal (let. f) CHF 0.00 Etat de frais CHF 75.00 Emolument de décision CHF 500.00 Total des frais de la procédure d'appel : CHF 735.00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