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P/1665/2011 vom 10. November 2011</w:t>
      </w:r>
    </w:p>
    <w:p>
      <w:r>
        <w:t>GE Cour de justice, 2011-11-10, FR</w:t>
      </w:r>
    </w:p>
    <w:p>
      <w:r>
        <w:rPr>
          <w:b/>
        </w:rPr>
        <w:t xml:space="preserve">Quelle: </w:t>
      </w:r>
      <w:r>
        <w:t>https://mcp.opencaselaw.ch/entscheid/ge_gerichte_P_1665_2011</w:t>
      </w:r>
    </w:p>
    <w:p>
      <w:r>
        <w:t>FR: GE_GERICHTE P/1665/2011 du 10 novembre 2011</w:t>
      </w:r>
    </w:p>
    <w:p>
      <w:r>
        <w:t>IT: GE_GERICHTE P/1665/2011 del 10 novembre 2011</w:t>
      </w:r>
    </w:p>
    <w:p>
      <w:pPr>
        <w:pStyle w:val="Heading2"/>
      </w:pPr>
      <w:r>
        <w:t>Regeste</w:t>
      </w:r>
    </w:p>
    <w:p>
      <w:r>
        <w:t>; BRIGANDAGE ; OPPOSITION À UN ACTE DE L'AUTORITÉ ; SÉJOUR ILLÉGAL | CP.140; CP.286; LEtr.115.1.b</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Il en va de même de l'appel joint (art. 400 al. 3 let. b et 401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1.3</w:t>
      </w:r>
    </w:p>
    <w:p>
      <w:r>
        <w:t>La Chambre limite son examen aux violations décrites dans l'acte d'appel (art. 404 al. 1 CPP), sous réserve de l'exception prévue à l'alinéa 2 de cette même disposition, non réalisée en l'occurrence.</w:t>
      </w:r>
    </w:p>
    <w:p>
      <w:r>
        <w:rPr>
          <w:b/>
        </w:rPr>
        <w:t>E. 2.1</w:t>
      </w:r>
    </w:p>
    <w:p>
      <w:r>
        <w:t>Commet un brigandage celui qui réalise un vol en usant de violence à l’égard d’une personne, en la menaçant d’un danger imminent pour la vie ou l’intégrité corporelle ou en la mettant hors d’état de résister (art. 140 ch. 1 al. 1 CP), de même que celui qui commet l’un de ces actes de contrainte alors qu’il a été surpris en flagrant délit de vol dans le but de garder la chose volée (art. 140 ch. 1 al. 2 CP).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(ATF 133 IV 207 consid. 4.4 p. 212). Si l’auteur ne recourt à la violence que pour assurer sa fuite, le brigandage n’est toutefois pas réalisé, faute de lien direct entre la contrainte et l’atteinte au patrimoine (ATF 92 IV 153 consid. 1 p. 154s). Le brigandage n’est donc pas exclusivement une infraction contre le patrimoine, mais aussi contre la liberté (ATF 133 IV 297 consid. 4.1 p. 300). Il n'existe pas de cas atténués de brigandage. En particulier, la qualification n'est pas modifiée si l'infraction vise un élément patrimonial de faible valeur (art. 172 ter al. 2 CP) ( ACJP/72/2008 du 14 avril 2008 ; CORBOZ, Les infractions en droit suisse , 2002, par. 19 ad art. 140 CP). La violence est toute action physique immédiate sur le corps de la personne qui doit défendre la possession de la chose (ATF 133 IV 207 consid. 4.3.1 p. 211). Il s’agit de l’exercice direct de la force physique immédiate sur le corps de la victime ; elle peut consister dans le fait de la frapper, de l’entraver, de la tenir, de la ligoter ou de la pousser à terre (ATF 107 IV 107 consid. 3c p. 109 ; ATF 98 IV 314 p. 316 ; ATF 92 IV 153 consid. 1 p. 155 ; ATF 81 IV 224 p. 226). D’après les circonstances, il suffit que la violence soit propre à briser sa résistance (J. HURTADO POZO, Droit pénal, partie spéciale , Genève 2009, n. 957 ad. art. 140 CP). Il n’en demeure pas moins qu’elle doit revêtir une certaine intensité, propre à faire céder la victime (B. CORBOZ, op. cit. , volume I, 3 e édition, Berne 2010, n. 5 ad art. 140 CP). Au lieu de la violence, l’auteur peut employer la menace d’un danger imminent pour la vie ou l’intégrité corporelle, à l’exclusion d’autres biens juridiquement protégés. Il importe peu que la victime ait été mise dans l’incapacité de se défendre ; il suffit que l’auteur ait recouru aux moyens indiqués pour commettre son vol (arrêt du Tribunal fédéral 6S.109/2003 du 6 juin 2003 consid. 2.1). D’un point de vue subjectif, l’intention doit porter sur tous les éléments constitutifs, c’est-à-dire sur le vol et le moyen de contrainte utilisé, l’auteur devant au moins accepter l’idée de briser la résistance de la victime (ATF 133 IV 207 consid. 4.3.3 p. 211s). L’auteur doit également avoir le dessein de s’approprier la chose et de se procurer ou de procurer à un tiers un enrichissement illégitime (arrêt du Tribunal fédéral 6S.109/2003 du 6 juin 2003 consid. 2.1).</w:t>
      </w:r>
    </w:p>
    <w:p>
      <w:r>
        <w:rPr>
          <w:b/>
        </w:rPr>
        <w:t>E. 2.2</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w:t>
      </w:r>
    </w:p>
    <w:p>
      <w:r>
        <w:rPr>
          <w:b/>
        </w:rPr>
        <w:t>E. 2.3</w:t>
      </w:r>
    </w:p>
    <w:p>
      <w:r>
        <w:t>Il est établi par le dossier, notamment les images des bandes vidéos, que les appelants ont observé puis suivi l'intimée dès son entrée dans le centre commercial des C______ puis dans le tram, pendant près d'une heure, alors même que cette dernière venait de retirer de l'argent à la banque, étant relevé que ce laps de temps est beaucoup trop long pour être compatible avec le hasard. Les images ne laissent subsister aucun doute puisque l'on y voit clairement les appelants occupés à suivre l'intimée. Ils ont emprunté le même parcours que cette dernière et se sont arrêtés à chaque fois qu'elle se rendait dans un magasin avant de la suivre à nouveau. L'épisode ayant eu lieu devant le kiosque est d'ailleurs particulièrement parlant. La version des faits relatée par les appelants consistant à dire qu'ils s'étaient arrêtés pour prendre un café dans la cafétéria du centre commercial puis que X______ avait voulu voler le journal "le Matin" comme il le faisait quotidiennement n'est pas crédible au vu de leur manège. Il n'est pas établi que les appelants se seraient rendus à la boucherie "H______", son propriétaire ne l'ayant pas confirmé. La version des faits des appelants n'est ainsi corroborée par aucun élément du dossier et apparaît d'autant moins vraisemblable que ces derniers ont été formellement identifiés par l'intimée sur planches photographiques présentées par la police le 1 er février 2011 puis lors de l'audience de confrontation du 17 mars suivant par-devant le Procureur. Le fait que l'intimée se soit trompée dans la description de ses agresseurs en omettant d'évoquer la moustache de X______ et en indiquant que Y______ avait des cheveux mi-long le 27 janvier 2011 ne remet pas sérieusement en cause son témoignage, d'autant plus qu'elle avait correctement indiqué, lors de sa première déclaration, que le premier agresseur, par la suite identifié comme étant l'appelant X______, était plus grand que le deuxième. La Chambre de céans, à l'instar du Tribunal de police, a ainsi acquis la conviction que les appelants ont délibérément suivi l'intimée dans ses déplacements afin de l'agresser et de prendre la fuite avec son sac.</w:t>
      </w:r>
    </w:p>
    <w:p>
      <w:r>
        <w:rPr>
          <w:b/>
        </w:rPr>
        <w:t>E. 3</w:t>
      </w:r>
    </w:p>
    <w:p>
      <w:r>
        <w:t>3.1. L'art. 286 CP punit celui qui empêche une autorité, un membre d'une autorité ou un fonctionnaire de faire un acte entrant dans ses fonctions. Selon la jurisprudence, l'opposition aux actes de l'autorité à teneur de l'art. 286 CP est une infraction de résultat qui suppose que l'auteur adopte un comportement qui entrave l'autorité ou le fonctionnaire dans l'accomplissement d'un acte officiel; il ne suffit pas qu'il se borne à ne pas obtempérer à un ordre qui lui est donné (ATF 124 IV 127 consid. 3a p. 130 ; ATF 120 IV 136 consid. 2a p. 139 et les références citées). Il n'est toutefois pas nécessaire que l'auteur parvienne à éviter effectivement l'accomplissement de l'acte officiel, il suffit qu'il le rende plus difficile, l'entrave ou le diffère (ATF 133 IV 97 consid. 4.2 p. 100 ; ATF 127 IV 115 consid. 2 p. 118 ; ATF 124 IV 127 consid. 3a p. 129 ; ATF 120 IV 136 consid. 2a p. 139 et les références citées). L'art. 286 CP se distingue de l'art. 285 CP, relatif aux violences ou menaces contre les autorités et les fonctionnaires, par le fait qu'il vise une résistance sans violence ni menaces; il diffère de l'art. 292 CP, qui sanctionne l'insoumission à une décision de l'autorité, en ce sens qu'une simple désobéissance ne suffit pas (ATF 124 IV 127 consid. 3a). Au contraire, le comportement incriminé à l'art. 286 CP suppose une résistance qui implique une certaine activité (ATF 124 IV 127 consid. 3a; ATF 120 IV 136 consid. 2a p. 140), qui peut par exemple être réalisée par le fait de prendre la fuite (ATF 120 IV 136 consid. 2a p. 140 et les références citées).</w:t>
      </w:r>
    </w:p>
    <w:p>
      <w:r>
        <w:rPr>
          <w:b/>
        </w:rPr>
        <w:t>E. 3.2</w:t>
      </w:r>
    </w:p>
    <w:p>
      <w:r>
        <w:t>Selon les dépositions des inspecteurs relatant les circonstances de l'interpellation des appelants principaux, telles qu'elles figurent dans le rapport de police du 1 er février 2011 et qu'elles ont été exposées par-devant le Procureur, ces derniers ont tenté en vain de s'opposer aux forces de l'ordre lors de leur interpellation. Certes, les conditions n'étaient pas favorables pour une interpellation compte tenu du fait que les policiers étaient en civil et qu'ils se situaient dans une zone très passante, néanmoins ils avaient préalablement suivi les appelants sur deux ou trois rues jusqu'à ce que ceux-ci s'en rendent compte puis avaient couru vers eux en se légitimant. Les appelants avaient de ce fait très bien compris quelle était la situation. C'est donc sur cette base, et non pas par réaction de surprise, qu'ils ont opposé une résistance. Il n'y a en conséquence pas de raison de mettre en doute les témoignages des inspecteurs. Ainsi, en tout état de cause, la Cour de céans considère, tout comme le premier juge, qu'il n'y a pas de raisons de se départir des éléments établis par le dossier qui démontrent clairement la résistance opérée par les appelants durant leur interpellation, rendant plus difficile l'accomplissement de l'acte officiel. Le jugement dont est appel doit par conséquent être confirmé s'agissant du verdict de culpabilité d'infraction à l'art. 286 CP.</w:t>
      </w:r>
    </w:p>
    <w:p>
      <w:r>
        <w:rPr>
          <w:b/>
        </w:rPr>
        <w:t>E. 4</w:t>
      </w:r>
    </w:p>
    <w:p>
      <w:r>
        <w:t>4.1.1.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(arrêt du Tribunal fédéral 6B_1029/2010 du 18 avril 2011 consid. 2.1 ; ATF 129 IV 6 consid. 6.1 p. 20s ; ATF 122 IV 241 consid. 1a p. 243). L’art. 47 CP confère un large pouvoir d’appréciation au juge (cf. ATF 135 IV 130 consid. 5.3.1). Par conséquent, cette disposition n’est violée que si le juge sort du cadre légal défini,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19s ; ATF 129 IV 6 consid. 6.1 p. 21). 4.1.2.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cette disposition ne trouve pas application. Dans ce cas, le juge doit prononcer, cumulativement, des peines de genres différents (arrêts du Tribunal fédéral 6B_111/2010 du 29 juin 2010 consid. 2 et 6B_890/2008 du 6 avril 2009 consid. 7.1). 4.1.3.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4.2.1. En l’occurrence, la faute des appelants est importante. Par appât d’un gain facile, ils s’en sont pris à l’intégrité corporelle et aux biens d’autrui. Ils ont fait preuve d'une grande détermination en repérant puis suivant l'intimée dans tous ses déplacements pendant près d'une heure, n'hésitant pas à la suivre jusque dans l'allée de son immeuble dans le but de l'agresser et de la voler. Sans égard pour la fragilité évidente de cette dernière vu son âge, l'un des appelants l’a violemment poussée sur les escaliers, lui occasionnant d'importantes blessures ayant nécessité son hospitalisation pendant deux semaines, suivies de graves complications, tandis que l'autre appelant lui a arraché son sac de courses. Ils ont de ce fait agi lâchement et sans scrupules au préjudice d'une personne âgée et sans défense, sans égards pour sa santé physique et le traumatisme causé. Durant leur interpellation, les appelants n'ont pas non plus hésité à s'opposer aux forces de l'ordre en opérant une résistance active, rendant ainsi plus difficile l'accomplissement de l'acte officiel. A cela s'ajoute que les appelants ont également persisté à séjourner sur le territoire helvétique alors même qu'ils étaient dépourvus de toute autorisation de séjour et avaient fait l'objet de plusieurs condamnations, démontrant ainsi ne pas être en mesure de respecter le cadre légal imposé. Leurs antécédents sont mauvais puisqu'ils ont précédemment été condamnés à d'autres peines privative de liberté pour vols et séjour illégal. Certes, c'est la première fois qu'une infraction contre l'intégrité physique leur est reprochée, mais cela démontre que leur comportement délictueux prend une orientation plus grave. Enfin, leur collaboration en cours de procédure n'a pas été bonne, les appelants s'étant refugiés dans le déni jusqu'en appel concernant le brigandage et l'opposition aux actes de l'autorité, ce qui dénote une prise de conscience inexistante de la gravité de leurs actes. Ils ne peuvent se prévaloir d'aucune circonstance atténuante de l'art. 48 CP. 4.2.2. Les infractions de brigandage et celle de séjour illégal en Suisse reprochées aux appelants sont passibles du même genre de peine et concourent entre elles. L'opposition aux actes de l'autorité (art. 286 CP) est quant à elle punie d'une peine pécuniaire de 30 jours-amende au plus. Le Tribunal de police a condamné les appelants à une peine privative de liberté de dix-huit mois pour les trois infractions retenues à leur encontre, ladite peine englobant à tort l'infraction d'opposition aux actes de l'autorité. Cette peine est par ailleurs trop clémente au vu de la faute des intéressés, qui est importante (cf. supra 4.2.1). Compte tenu de la liberté d’appréciation dont elle dispose, la Chambre de céans, qui n’est pas liée par l’interdiction de la reformatio in pejus suite à l’appel joint du Ministère public (cf. art. 391 al. 2 CPP), condamnera les appelants à une peine privative de liberté de vingt-trois mois et quinze jours, sous déduction de la détention préventive subie avant jugement, qui paraît adéquate au regard de l'ensemble des éléments susmentionnés et seule susceptible d'avoir un effet de prévention spéciale sur les intéressés. Les appelants seront également condamnés à une peine pécuniaire ferme de quinze jours-amende, à CHF 10.- le jour, pour tenir compte de leur absence de revenus réguliers. Le jugement entrepris sera par conséquent réformé en conséquence.</w:t>
      </w:r>
    </w:p>
    <w:p>
      <w:r>
        <w:rPr>
          <w:b/>
        </w:rPr>
        <w:t>E. 5</w:t>
      </w:r>
    </w:p>
    <w:p>
      <w:r>
        <w:t>5.1.1.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Le juge peut suspendre partiellement l’exécution d’une peine pécuniaire, d’un travail d’intérêt général ou d’une peine privative de liberté d’un an au moins et de trois an au plus afin de tenir compte de façon appropriée de la faute de l’auteur (art. 43 al. 1 CP). 5.1.2. Pour l’octroi du sursis, le juge doit poser un pronostic quant au comportement futur de l’auteur. La question de savoir si le sursis serait de nature à le détourner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Tribunal fédéral 6B_233/2011 du 7 juillet 2011 consid. 3.1).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ainsi la règle dont on ne peut s’écarter qu’en présence d’un pronostic défavorable. Il prime en cas d’incertitude (ATF 134 IV 1 consid. 4.2.2 p. 5s ; SJ 2008 I 277 consid. 2.1 p. 280).</w:t>
      </w:r>
    </w:p>
    <w:p>
      <w:r>
        <w:rPr>
          <w:b/>
        </w:rPr>
        <w:t>E. 5.2</w:t>
      </w:r>
    </w:p>
    <w:p>
      <w:r>
        <w:t>En l'espèce, les appelants ont déjà fait l'objet de nombreuses condamnations durant les cinq ans ayant précédé la présente infraction, principalement pour des infractions contre le patrimoine puis récemment encore pour des faits identiques ou ressemblants, démontrant ainsi leur volonté claire de ne pas se soumettre au cadre légal imposé. Ils ont développé une activité délictueuse intense qui tend à s'accroître, ce qui démontre leur enracinement dans la délinquance. La prise de conscience est nulle. Dès lors, un pronostic défavorable doit être retenu. Partant, la Cour de céans considère que le sursis, même partiel, ne peut être octroyé.</w:t>
      </w:r>
    </w:p>
    <w:p>
      <w:r>
        <w:rPr>
          <w:b/>
        </w:rPr>
        <w:t>E. 6</w:t>
      </w:r>
    </w:p>
    <w:p>
      <w:r>
        <w:t>Les appelants, qui succombent intégralement, supporteront les frais de la procédure envers l'État (art. 428 CPP). * * * * * PAR CES MOTIFS, LA CHAMBRE PENALE D'APPEL ET DE REVISION : Reçoit les appels formés respectivement par X______ et Y______ ainsi que l'appel joint formé par le Ministère public contre le jugement JTDP/60/2011 rendu le 23 mai 2011 par le Tribunal de police dans la procédure P/1665/2011. Annule ce jugement dans la mesure où il condamne X______ et Y______ à une peine privative de liberté d'ensemble de dix-huit mois. Et statuant à nouveau : Condamne Y______ à une peine privative de liberté d'ensemble de vingt-trois mois et quinze jours, sous déduction de la détention avant jugement, et à une peine pécuniaire de quinze jours-amende. Fixe le montant du jour-amende à CHF 10.-. Condamne X______ à une peine privative de liberté d'ensemble de vingt-trois mois et quinze jours, sous déduction de la détention avant jugement, et à une peine pécuniaire de quinze jours-amende. Fixe le montant du jour-amende à CHF 10.-. Confirme pour le surplus le jugement entrepris. Condamne X______ et Y______, à hauteur de la moitié chacun, aux frais de la procédure d'appel, qui comprennent un émolument de CHF 1'200.-. Siégeant : Madame Alessandra CAMBI FAVRE-BULLE, présidente, Messieurs Jacques DELIEUTRAZ et François PAYCHÈRE, juges, Madame Céline GUTZWILLER, greffière-juriste. Greffier : Didier PERRUCHOUD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P/1665/11 éTAT DE FRAIS AARP/168/2011 COUR DE JUSTICE Selon le règlement du 22 décembre 2010 fixant le tarif des frais et dépens en matière pénale (E.4.10.03). Frais de procédure du Tribunal de police CHF 1'096.00 Débours frais postaux CHF 140.00 Émoluments généraux délivrance de copies CHF Procès-verbal (let. f) CHF 60.00 Citation témoins (let. i) CHF état de frais CHF 50.00 Émoluments de la Chambre pénale d'appel et de révision décision CHF 1'200.00 Total des frais d’appel (Pour calculer : cliquer avec bouton de droite sur le montant total puis sur « mettre à jour les champs » ou cliquer sur le montant total et sur la touche F9) CHF 1'450.00 Total général CHF 2'546.00 condamne les appelants, chacun pour moitié, aux frais de la procédure de première instance ainsi qu’aux frais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