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P/16649/2016 vom 4. Mai 2017</w:t>
      </w:r>
    </w:p>
    <w:p>
      <w:r>
        <w:t>GE Cour de justice, 2017-05-04, FR</w:t>
      </w:r>
    </w:p>
    <w:p>
      <w:r>
        <w:rPr>
          <w:b/>
        </w:rPr>
        <w:t xml:space="preserve">Quelle: </w:t>
      </w:r>
      <w:r>
        <w:t>https://mcp.opencaselaw.ch/entscheid/ge_gerichte_P_16649_2016</w:t>
      </w:r>
    </w:p>
    <w:p>
      <w:r>
        <w:t>FR: GE_GERICHTE P/16649/2016 du 4 mai 2017</w:t>
      </w:r>
    </w:p>
    <w:p>
      <w:r>
        <w:t>IT: GE_GERICHTE P/16649/2016 del 4 maggio 2017</w:t>
      </w:r>
    </w:p>
    <w:p>
      <w:pPr>
        <w:pStyle w:val="Heading2"/>
      </w:pPr>
      <w:r>
        <w:t>Regeste</w:t>
      </w:r>
    </w:p>
    <w:p>
      <w:r>
        <w:t>CLASSEMENT DE LA PROCÉDURE ; DÉTENTION INJUSTIFIÉE ; IMPUTATION ; INDEMNITÉ POUR DÉTENTION | CPP.319; CP.51; CPP.429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fait grief au Ministère public d'avoir refusé de l'indemniser pour la détention provisoire subie à raison de l’infraction classée. Il n'existe, selon lui, aucune condamnation actuellement en force sur laquelle imputer la détention avant jugement.![endif]&gt;![if&gt;</w:t>
      </w:r>
    </w:p>
    <w:p>
      <w:r>
        <w:rPr>
          <w:b/>
        </w:rPr>
        <w:t>E. 3.1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le cas échéant partiel, des poursuites (M. NIGGLI / M. HEER / H. WIPRÄCHTIGER (éds), Strafprozessordnung / Jugendstrafprozessordnung, Basler Kommentar StPO/JStPO , 2 e éd., Bâle 2014, n. 26 s. ad art. 429 CPP).</w:t>
      </w:r>
    </w:p>
    <w:p>
      <w:r>
        <w:rPr>
          <w:b/>
        </w:rPr>
        <w:t>E. 3.2</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qui s'impose également au Ministère public au moment de rendre une ordonnance pénale (Y. JEANNERET, Les procédures spéciales dans le Code de procédure pénale suisse , in R. PFISTER-LIECHTI (éd.), La procédure pénale fédérale, Fondation pour la formation continue des juges suisses , Berne 2010, p. 147),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p. 239 et les références citées). Au vu de ce qui précède, le prévenu ne peut pas choisir d'imputer la détention provisoire subie sur les infractions qui font l'objet d'un classement partiel, ni obtenir qu'elles lui ouvrent le droit à une indemnisation. Ce n'est que s'il est, in fine , acquitté et donc libéré de toutes charges que l'intéressé peut alors prétendre à une indemnité pour la détention provisoire subie, dès lors que cette réparation financière devient, dans une telle constellation, la seule possible (arrêts du Tribunal fédéral 6B_84/2014 du 13 août 2014 consid. 5.1 et 6_98/2015 du 23 juin 2016 consid. 3 qui confirme l'arrêt ACPR/409/2013 du 29 août 2013 consid. 3.2.1).</w:t>
      </w:r>
    </w:p>
    <w:p>
      <w:r>
        <w:rPr>
          <w:b/>
        </w:rPr>
        <w:t>E. 3.3</w:t>
      </w:r>
    </w:p>
    <w:p>
      <w:r>
        <w:t>En l'espèce, il est constant que le recourant, qui a subi une privation de liberté avant jugement de 28 jours, est au bénéfice d'un classement partiel alors que le reste de la procédure est pendante devant les juges d'appel. Si la condamnation du recourant devait être confirmée, il reviendrait à ces derniers d'imputer les 28 jours de détention provisoire subie sur la peine prononcée. Ce n'est qu'en cas d'acquittement, et dans ce cas seulement, que se poserait la question d'une indemnisation de ce chef. L'argument du recourant selon lequel lui refuser une indemnisation contrevient à la présomption d'innocence vu l'absence d'une décision de condamnation en force est spécieux. En effet, l'approche consistant en la demande d'indemnisation pécuniaire d'un prévenu pour la détention subie avant jugement, alors que la procédure n'est pas totalement close, reviendrait à lui laisser le choix entre l'imputation de la détention selon l'art. 51 CP et une indemnisation financière, ce qui est exclu par la lettre claire de la loi et la jurisprudence.</w:t>
      </w:r>
    </w:p>
    <w:p>
      <w:r>
        <w:rPr>
          <w:b/>
        </w:rPr>
        <w:t>E. 4</w:t>
      </w:r>
    </w:p>
    <w:p>
      <w:r>
        <w:t>Justifié, le point contesté de l'ordonnance querellée sera donc confirmé. ![endif]&gt;![if&gt;</w:t>
      </w:r>
    </w:p>
    <w:p>
      <w:r>
        <w:rPr>
          <w:b/>
        </w:rPr>
        <w:t>E. 5</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