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P/16607/2019 vom 10. März 2023</w:t>
      </w:r>
    </w:p>
    <w:p>
      <w:r>
        <w:t>GE Cour de justice, 2023-03-10, FR</w:t>
      </w:r>
    </w:p>
    <w:p>
      <w:r>
        <w:rPr>
          <w:b/>
        </w:rPr>
        <w:t xml:space="preserve">Quelle: </w:t>
      </w:r>
      <w:r>
        <w:t>https://mcp.opencaselaw.ch/entscheid/ge_gerichte_P_16607_2019</w:t>
      </w:r>
    </w:p>
    <w:p>
      <w:r>
        <w:t>FR: GE_GERICHTE P/16607/2019 du 10 mars 2023</w:t>
      </w:r>
    </w:p>
    <w:p>
      <w:r>
        <w:t>IT: GE_GERICHTE P/16607/2019 del 10 marzo 2023</w:t>
      </w:r>
    </w:p>
    <w:p>
      <w:pPr>
        <w:pStyle w:val="Heading2"/>
      </w:pPr>
      <w:r>
        <w:t>Regeste</w:t>
      </w:r>
    </w:p>
    <w:p>
      <w:r>
        <w:t>LÉSION CORPORELLE;ACCIDENT DE LA CIRCULATION;NÉGLIGENCE;LIEN DE CAUSALITÉ;PRINCIPE DE LA CONFIANCE(RÈGLE DE LA CIRCULATION);SIGNALISATION ROUTIÈRE;CAUSALITÉ ADÉQUATE | CPP.389.al3; CP.125; CP.12.al3; LCR.26.al1; LCR.27.al1; CP.47</w:t>
      </w:r>
    </w:p>
    <w:p>
      <w:pPr>
        <w:pStyle w:val="Heading2"/>
      </w:pPr>
      <w:r>
        <w:t>Erwägungen</w:t>
      </w:r>
    </w:p>
    <w:p>
      <w:r>
        <w:rPr>
          <w:b/>
        </w:rPr>
        <w:t>E. 4</w:t>
      </w:r>
    </w:p>
    <w:p>
      <w:r>
        <w:t>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Le juge dispose d'un large pouvoir d'appréciation lui permettant de procéder à une estimation du montant du jour-amende en fonction des informations dont il dispose (arrêts du Tribunal fédéral 6B_133/2018 du 27 juillet 2018 consid. 3.1 ; 6B_568/2012 du 16 novembre 2012 consid. 2.1). 4.2.3. 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(ATF 140 IV 74 consid. 2.4). 4.2.4. Aux termes de l'art. 42 al. 1 CP, le juge suspend en règle générale l'exécution d'une peine pécuniaire ou d'une peine privative de liberté de deux ans au plus lorsqu'une peine ferme ne paraît pas nécessaire pour détourner l'auteur d'autres crimes ou délits. 4.2.5. Si le juge suspend totalement l'exécution d'une peine, il impartit au condamné un délai d'épreuve de deux à cinq ans (art. 44 al. 1 CP). 4.2.6. Le juge peut prononcer, en plus d'une peine avec sursis, une amende selon l'art. 106 CP (art. 42 al. 4 CP). L'amende immédiate se justifie lorsque le sursis peut être octroyé, mais que, pour des motifs de prévention spéciale, une sanction ferme accompagnant la sanction avec sursis paraît mieux à même d'amener l'auteur à s'amender (ATF 134 IV 1 consid. 4.5.2 ; 134 IV 60 consid. 7.3.2). Il résulte de la place de l'art. 42 al. 4 CP dans la loi que la peine privative de liberté ou la peine pécuniaire assorties du sursis a un poids primordial et que l'amende sans sursis qui vient s'ajouter ne revêt qu'un rôle secondaire (ATF 134 IV 1 consid. 4.5.2). Elle ne doit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Il convient de fixer une peine privative de liberté de substitution pour le cas où, de manière fautive, l'opposant ne paie pas l'amende (art. 106 al. 2 CP).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 arrêt du Tribunal fédéral 6B_903/2015 du 21 septembre 2016 consid. 1.2 et les références citées). 4.2.7. 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4.3.1. La faute commise par l'appelant relève d'une infraction par négligence, mais le manquement de l'intéressé à ses devoirs a été grave, sachant qu'il a notamment violé une règle élémentaire de la circulation routière en ne respectant pas le feu de circulation le concernant, alors en phase rouge, qui plus est à un carrefour dangereux et en travaux, dans le but vraisemblablement de gagner du temps dans le trafic. Les conséquences ont été importantes pour la victime qui a été grièvement blessée. Le prévenu persiste en outre à nier toute culpabilité et tente vainement de rejeter l'entière responsabilité de l'accident sur le cyclomotoriste. Confronté aux témoins, il a essayé de les décrédibiliser, alors même qu'ils ont été constants et pertinents dans leurs déclarations. Sa prise de conscience n'est dès lors pas entamée. Il a toutefois assisté l'intimé après l'accident et a cherché à s'enquérir de sa santé, en lui montrant de l'empathie. Sa situation personnelle est sans lien avec les faits. Ses antécédents, non spécifiques ou relativement anciens, ne sont pas pertinents. Non contesté, le type de peine sera confirmé ; sa quotité de 80 unités est tout à fait adéquate au regard de la gravité de la faute et des autres éléments précités. À cet effet, il sera rappelé que la faute dont l'appelant croit pouvoir faire grief au plaignant ne l'exonère pas de ses propres manquements, de sorte qu'elle n'a pas d'influence sur la fixation de sa peine, sachant qu'il n'existe pas de compensation des fautes en droit pénal (ATF 122 IV 17 consid. 2c/bb p. 24). L'imputation sur la peine de la durée de la détention avant jugement de deux jours, ainsi que, dans une juste proportion, celle des mesures de substitution à hauteur de 35 jours, équivalent à 15% de 231 jours, n'est ni critiquée ni critiquable et sera partant confirmée, vu leur respect partiel et le fait qu'elles ont entravé l'appelant dans une mesure largement inférieure à la prison. L'appelant ne conteste pas, au-delà de l'acquittement, le montant du jour amende de CHF 160.-, lequel consacre une application correcte des critères de l'art. 34 CP, soit correspondant à sa situation personnelle et financière présumée, étant souligné que l'appelant a admis que son épouse réglait tous les frais du ménage et qu'il n'a fourni aucun document précis à cet égard, alors qu'il apparaît jouir d'un train de vie confortable. Il en va de même de l'amende, à titre de sanction immédiate, à hauteur de CHF 2'560.-, laquelle entre dans la fourchette des 20% de la peine principale et s'avère justifiée, compte tenu de sa faute et de sa prise de conscience relative de ses agissements, tout comme les 16 jours de peine privative de liberté de substitution. L'octroi du sursis pour la peine pécuniaire et la durée du délai d'épreuve de trois ans, non contestés en appel, au-delà de son acquittement, sont acquis à l'appelant (art. 391 al. 2 CPP). 4.3.2. La peine prononcée en première instance sera par conséquent confirmée, en sus de l'amende de CHF 1'000.- et de la peine privative de liberté de substitution de dix jours, points non contestés en appel.</w:t>
      </w:r>
    </w:p>
    <w:p>
      <w:r>
        <w:rPr>
          <w:b/>
        </w:rPr>
        <w:t>E. 4.1</w:t>
      </w:r>
    </w:p>
    <w:p>
      <w:r>
        <w:t>Outre la contravention retenue à l'art. 90 al. 1 LCR, dont la peine n'est plus contestée, l'appelant s'est rendu coupable de lésions corporelles par négligence (art. 125 al. 1 CP), infraction passible d'une peine privative de liberté de trois ans au plus ou d'une peine pécuniaire.</w:t>
      </w:r>
    </w:p>
    <w:p>
      <w:r>
        <w:rPr>
          <w:b/>
        </w:rPr>
        <w:t>E. 5.1</w:t>
      </w:r>
    </w:p>
    <w:p>
      <w:r>
        <w:t>L'appelant, qui succombe, supportera les frais de la procédure envers l'État (art. 428 CPP), dont les frais de la procédure d'appel comprendront un émolument de décision de CHF 1'800.- (art. 428 al. 1 CPP ; art. 14 al. 1 let. e du règlement fixant le tarif des frais en matière pénale [RTFMP]) (art. 428 CPP).</w:t>
      </w:r>
    </w:p>
    <w:p>
      <w:r>
        <w:rPr>
          <w:b/>
        </w:rPr>
        <w:t>E. 5.2</w:t>
      </w:r>
    </w:p>
    <w:p>
      <w:r>
        <w:t>Il sera par voie de conséquence débouté de ses conclusions en indemnisation (art. 429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