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P/1659/2020 vom 12. November 2020</w:t>
      </w:r>
    </w:p>
    <w:p>
      <w:r>
        <w:t>GE Cour de justice, 2020-11-12, FR</w:t>
      </w:r>
    </w:p>
    <w:p>
      <w:r>
        <w:rPr>
          <w:b/>
        </w:rPr>
        <w:t xml:space="preserve">Quelle: </w:t>
      </w:r>
      <w:r>
        <w:t>https://mcp.opencaselaw.ch/entscheid/ge_gerichte_P_1659_2020</w:t>
      </w:r>
    </w:p>
    <w:p>
      <w:r>
        <w:t>FR: GE_GERICHTE P/1659/2020 du 12 novembre 2020</w:t>
      </w:r>
    </w:p>
    <w:p>
      <w:r>
        <w:t>IT: GE_GERICHTE P/1659/2020 del 12 novembre 2020</w:t>
      </w:r>
    </w:p>
    <w:p>
      <w:pPr>
        <w:pStyle w:val="Heading2"/>
      </w:pPr>
      <w:r>
        <w:t>Regeste</w:t>
      </w:r>
    </w:p>
    <w:p>
      <w:r>
        <w:t>ASSISTANCE JUDICIAIRE;DÉNUEMENT;FRAIS D'ENTRETIEN;SOINS MÉDICAUX | CPP.136; CP.112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Une personne est indigente lorsqu'elle n'est pas en mesure d'assumer les frais de la procédure sans porter atteinte au minimum nécessaire à son entretien et à celui de sa famille (ATF 144 III 531 consid. 4.1 p. 536 s.;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La part des ressources excédant ce qui est nécessaire à la couverture des besoins personnels doit être comparée, dans chaque cas, aux frais prévisibles de la procédure pour laquelle l'assistance judiciaire est demandée.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(Y. JEANNERET / A. KUHN / C. PERRIER DEPEURSINGE (éds), Commentaire romand : Code de procédure pénale suisse , 2 ème éd., Bâle 2019, n. 59a ad art. 132 CPP par renvoi de n. 30 ad art. 136 CPP).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p. 223 et les arrêts cités).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En revanche, lorsque le requérant remplit ses obligations, sans que cela permette d'établir d'entrée de cause, pour l'autorité, son indigence, il appartient à celle-ci de l'interpeller (arrêt du Tribunal fédéral 1B_179/2019 du 22 juillet 2019 consid. 3.2 et l'arrêt cité).</w:t>
      </w:r>
    </w:p>
    <w:p>
      <w:r>
        <w:rPr>
          <w:b/>
        </w:rPr>
        <w:t>E. 2.2</w:t>
      </w:r>
    </w:p>
    <w:p>
      <w:r>
        <w:t>Les frais médicaux non pris en charge par l'assurance-maladie obligatoire liés à des traitements ordinaires, nécessaires, en cours ou imminents, doivent en principe être pris en compte dans le calcul du minimum d'existence (ATF 129 III 242 consid. 4.2 ; arrêts du Tribunal fédéral 5A_914/2010 du 10 mars 2011 consid. 5.2.1; 5A_664/2007 du 23 avril 2008 consid. 2.2.1; 5C.157/2000 du 11 août 2000 consid. 3b).</w:t>
      </w:r>
    </w:p>
    <w:p>
      <w:r>
        <w:rPr>
          <w:b/>
        </w:rPr>
        <w:t>E. 2.3</w:t>
      </w:r>
    </w:p>
    <w:p>
      <w:r>
        <w:t>En l'espèce, seule est litigieuse la question de l'indigence, l'action civile n'étant, au vu des éléments du dossier, pas vouée à l'échec. L'instruction menée par le greffe de l'assistance juridique (art. 1 al. 2 RAJ) a établi que le revenu mensuel du recourant s'élève à CHF 5'124.-, contre des charges admissibles de CHF 4'473.-, laissant un disponible de CHF 651.-. Le préavis du greffe précité précise que les frais médicaux et dentaires " standards " font partie de l'entretien courant du demandeur et ne doivent donc pas y être ajoutés. À teneur des principes jurisprudentiels sus-rappelés, les traitements " ordinaires, nécessaires, en cours ou imminents " non pris en charge par les assurances maladie doivent toutefois, en principe, être pris en compte dans le calcul du minimum d'existence lorsqu'ils sont, bien entendu, documentés. En l'occurrence, le recourant démontre, pièces à l'appui, avoir dû supporter, en 2019, des frais médicaux non remboursés de CHF 3'528.-. Il ressort toutefois des éléments produits qu'y figure une facture d'opticien non détaillée, laquelle ne saurait être prise en considération. Il s'ensuit que c'est une somme de CHF 2'469.- (3'528 - 1'059), soit CHF 205.75 mensuels, qu'il faut ajouter aux charges du recourant. Le disponible s'élève donc à CHF 445.-, sans qu'il soit nécessaire de déterminer si les CHF 30.- du macaron doivent aussi être compris dans l'entretien de base, compte tenu de ce qui suit. Si le disponible arrêté ci-dessus permettrait largement à un justiciable de faire valoir ses prétentions civiles dans le cadre d'une cause simple, au sens de la jurisprudence précitée, tel n'est pas le cas ici. Ce disponible, représentant un capital de CHF 10'680.- sur deux ans (24 x 445), paraît insuffisant à couvrir les honoraires d'avocat au vu de l'importante activité que nécessitera la représentation du recourant dans le cadre de la procédure pénale ouverte pour l'assassinat dont sa mère a été victime, y compris à l'audience de jugement.</w:t>
      </w:r>
    </w:p>
    <w:p>
      <w:r>
        <w:rPr>
          <w:b/>
        </w:rPr>
        <w:t>E. 3</w:t>
      </w:r>
    </w:p>
    <w:p>
      <w:r>
        <w:t>Fondé, le recours doit être admis ; partant, l'ordonnance querellée sera annulée et le recourant mis au bénéfice de l'assistance judiciaire gratuite à compter du 9 avril 2020. M e B______ sera nommé en qualité de conseil juridique gratuit.</w:t>
      </w:r>
    </w:p>
    <w:p>
      <w:r>
        <w:rPr>
          <w:b/>
        </w:rPr>
        <w:t>E. 4</w:t>
      </w:r>
    </w:p>
    <w:p>
      <w:r>
        <w:t>Les frais de la procédure de recours sont laissés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