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P/1659/2012 vom 1. September 2015</w:t>
      </w:r>
    </w:p>
    <w:p>
      <w:r>
        <w:t>GE Cour de justice, 2015-09-01, FR</w:t>
      </w:r>
    </w:p>
    <w:p>
      <w:r>
        <w:rPr>
          <w:b/>
        </w:rPr>
        <w:t xml:space="preserve">Quelle: </w:t>
      </w:r>
      <w:r>
        <w:t>https://mcp.opencaselaw.ch/entscheid/ge_gerichte_P_1659_2012</w:t>
      </w:r>
    </w:p>
    <w:p>
      <w:r>
        <w:t>FR: GE_GERICHTE P/1659/2012 du 1 septembre 2015</w:t>
      </w:r>
    </w:p>
    <w:p>
      <w:r>
        <w:t>IT: GE_GERICHTE P/1659/2012 del 1 settembre 2015</w:t>
      </w:r>
    </w:p>
    <w:p>
      <w:pPr>
        <w:pStyle w:val="Heading2"/>
      </w:pPr>
      <w:r>
        <w:t>Regeste</w:t>
      </w:r>
    </w:p>
    <w:p>
      <w:r>
        <w:t>ABUS DE CONFIANCE; ESCROQUERIE; UTILISATION SANS DROIT DE VALEURS PATRIMONIALES; CONCOURS D'INFRACTIONS | CP.138.1.2; CP.146.1; CO.41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Commet un abus de confiance au sens de l’art. 138 ch. 1 al. 2 CP, celui qui, sans droit, a employé à son profit ou au profit d’un tiers des valeurs patrimoniales qui lui avaient été confiées. Une valeur patrimoniale est confiée, au sens de l'art. 138 ch. 1 al. 2 CP, si le lésé a volontairement transféré le pouvoir matériel et juridique d'en disposer à l'auteur, moyennant l'engagement exprès ou tacite de ce dernier d'en faire un usage déterminé dans l'intérêt du lésé ou d'un tiers (cf. ATF 133 IV 21 consid. 6.2 p. 27 s. et les arrêts cités ; arrêt du Tribunal fédéral 6B_91/2007 du 8 juillet 2007 consid. 6.1). Le comportement délictueux consiste à utiliser les valeurs patrimoniales contrairement aux instructions reçues, en s'écartant de la destination fixée (ATF 129 IV 257 consid. 2.2.1 p. 259). Un rapport de confiance particulier entre l'auteur et le lésé n'est pas nécessaire, une simple relation de fait étant suffisante, peu importe que l'engagement pris par l'auteur de faire un usage déterminé des valeurs patrimoniales confiées ait donné naissance à une obligation valable en droit (M. DUPUIS / B. GELLER / G. MONNIER / L. MOREILLON / C. PIGUET / C. BETTEX / D. STOLL (éds), Code pénal - Petit commentaire , Bâle 2012, n. 13 et 29 ad art. 138). Selon la jurisprudence, 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(ATF 129 IV 257 consid. 2.2.2 p. 259 ; 124 IV 9 consid. 1 p. 10 ss ; 120 IV 117 consid. 2 p. 118 ss ; arrêt du Tribunal fédéral 6B_569/2014 du 24 novembre 2014 consid. 3.1). L'affectation convenue doit représenter en elle-même une forme de garantie pour le prêteur : l'utilisation de l'argent prêté contrairement à sa destination convenue sera constitutive d'un abus de confiance lorsqu'elle remet en cause cet objectif (M. DUPUIS / B. GELLER / G. MONNIER / L. MOREILLON / C. PIGUET / C. BETTEX / D. STOLL (éds), op. cit. , n. 34 ad art. 138). Le Tribunal fédéral a admis le devoir de l'emprunteur de conserver constamment la contre-valeur de ce qu'il avait reçu notamment lorsque le prêteur, à teneur du contrat, pouvait partir de l'idée que si l'emprunteur utilisait les fonds conformément à ce qui avait été convenu, il serait en mesure de le rembourser (ATF 120 IV 117 ).</w:t>
      </w:r>
    </w:p>
    <w:p>
      <w:r>
        <w:rPr>
          <w:b/>
        </w:rPr>
        <w:t>E. 2.2</w:t>
      </w:r>
    </w:p>
    <w:p>
      <w:r>
        <w:t>Du point de vue subjectif, l'auteur doit avoir agi intentionnellement et dans un dessein d'enrichissement illégitime (ATF 133 IV 21 consid. 6.1.2 p. 27). L'élément subjectif de l'infraction n'est toutefois pas donné en cas de capacité de restituer ( Ersatzbereitschaft ), par quoi l'on désigne l'état de l'auteur qui peut justifier d'avoir, dès lors que la créance était exigible, eu à tout moment la volonté et la possibilité de présenter l'équivalent des montants employés (ATF 118 IV 32 consid. 2a p. 34).</w:t>
      </w:r>
    </w:p>
    <w:p>
      <w:r>
        <w:rPr>
          <w:b/>
        </w:rPr>
        <w:t>E. 2.3</w:t>
      </w:r>
    </w:p>
    <w:p>
      <w:r>
        <w:t>Lorsque l'auteur, par une tromperie astucieuse, s'est fait confier une chose mobilière ou des valeurs patrimoniales, la jurisprudence considère que les faits sont constitutifs d'escroquerie et d'abus de confiance (arrêts du Tribunal fédéral 6B_569/2014 précité consid. 3.1 et 6B_91/2007 précité consid. 6.2 ; cf. ATF 117 IV 429 consid. 3 p. 436 ; 133 IV 21 consid. 6 et 7 p. 27 ss). Pour la doctrine majoritaire, il faut retenir uniquement la qualification d'escroquerie et considérer que celle-ci absorbe celle d'abus de confiance (S. TRECHSEL / M. PIETH (éd.), Schweizerisches Strafgesetzbuch : Praxiskommentar , 2 e édition, Zurich 2012, n. 25 ad art. 138 ; M. DUPUIS / B. GELLER / G. MONNIER / L. MOREILLON / C. PIGUET / C. BETTEX / D. STOLL (éds), op. cit., n. 55 ad art. 138). La jurisprudence n'a en revanche pas encore déterminé s'il y avait concours imparfait ou concours idéal (arrêts du Tribunal fédéral 6B_569/2014 précité consid. 3.1 et 6B_91/2007 précité consid. 6.2).</w:t>
      </w:r>
    </w:p>
    <w:p>
      <w:r>
        <w:rPr>
          <w:b/>
        </w:rPr>
        <w:t>E. 2.3.1</w:t>
      </w:r>
    </w:p>
    <w:p>
      <w:r>
        <w:t>En l'espèce, l'appelant ne conteste pas s'être vu prêter la somme de CHF 150'000.- par l'intimée dans le but qu'elle soit investie dans la réalisation de son projet de paquebot, qui devait passer par la création de la société C______ Sàrl. Cette destination claire du prêt, convenue oralement entre les parties, ressort de ses propres déclarations, tout comme de celles de l'intimée et du témoin E______. La première reconnaissance de dette mentionnant un prêt en vue de la création de la société C______ la confirme. Vu la destination précise du prêt, à même de garantir le risque de la prêteuse puisque la concrétisation du projet aurait dû largement permettre de la rembourser ou d'obtenir le remboursement, par exemple en réalisant l'appartement qui lui était promis, c'est à juste titre que le premier juge a retenu que les valeurs patrimoniales prêtées par l'intimée à l'appelant constituaient des valeurs patrimoniales confiées au sens de l'art. 138 CP. A toutes fins utiles, il sera encore relevé que les circonstances dans lesquelles ce prêt a été obtenu et le rôle joué par le témoin E______ dans ce processus ne sont nullement pertinentes dans l'examen de cette première condition, l'infraction d'abus de confiance ne requérant pas qu'il existât un rapport de confiance particulier autre que celui né de l'accord conclu entre celui qui confie et celui qui se voit confier les fonds. Les documents figurant à la procédure permettent de conclure que l'argent n'a pas été utilisé selon la destination convenue, le compte de la société C______ Sàrl, du reste constituée trois mois après l'échéance du prêt figurant dans la deuxième reconnaissance de dette, présentant un avoir de EUR 3'000.- en janvier 2008, correspondant à l'entier du capital social de la société. L'appelant prétend néanmoins que le prêt a été utilisé conformément au but prévu. L'argent aurait servi à des opérations en amont de la création de la société, ce qui, selon lui, respecterait la destination convenue avec l'intimée. Ce dernier point peut demeurer indécis au vu de l'invraisemblance de ses déclarations. Ses variations d'explication sur l'usage des fonds prêtés – mentions successives de frais d'avocat, frais de représentation divers (hôtels et restaurants) ou encore paiement d'une facture relative à une maquette – rendent déjà son récit peu crédible, étant encore relevé que ses déclarations liées à l'absence du témoin E______ lors de la remise des fonds et celles relatives à ses ordres de remboursement en faveur de l'intimée ont été démenties au cours de la procédure par les personnes entendues (témoins E______, J______ et M e F______). Le montant des parts sociales de l'appelant dans la société C______ Sàrl (EUR 2'700.-) permet surtout de douter de ses dires et de la véracité des rares documents produits censés les appuyer, l'ampleur du projet en lui-même et des montants articulés pour le réaliser, que cela soit en termes de frais déjà encourus, comme ceux pour la visite d'un chantier naval, ou en termes de promesses d'investissement, ne correspondant aucunement à la dotation finale de sa société. Dans ce contexte, la facture "Proforma d'émoluments" du 20 novembre 2007, d'un montant d'EUR 220'000.-, paraît totalement disproportionnée, de sorte qu'il est peu vraisemblable qu'elle corresponde à une activité réellement entreprise ou qu'un versement de EUR 150'000.-, indiqué à la main en bas de page sans mention de date, ait été effectué. De même, l'importance des propres investissements consentis par l'appelant (EUR 800'000.-) est en porte à faux avec la modestie des revenus déclarés aux autorités fiscales. De manière générale, l'amateurisme (mentions manuscrites ajoutées à la main, absence de dates, absence de comptabilité) des quelques documents produits par l'appelant renforce la conviction de la CPAR que le projet de paquebot n'est guère allé plus loin que le stade du rêve. Son ami E______, pourtant si enthousiaste, ne s'y est d'ailleurs pas trompé et n'a pas investi le moindre centime. Au vu de ces éléments, souligner, ainsi que l'a fait le premier juge, que l'appelant n'a produit aucune documentation sérieuse propre à établir ses allégations relatives à l'utilisation des fonds reçus, qu'il s'était pourtant engagé à fournir, ne revient pas à lui reprocher de ne pas avoir démontré son innocence. Ce constat constitue seulement un indice supplémentaire du caractère mensonger de ses déclarations, tant il est surprenant que le promoteur d'un ambitieux projet valant plusieurs millions ne soit pas en mesure d'en présenter concrètement l'état d'avancement, ne serait-ce que pour attirer de nouveaux investisseurs et sans qu'il ne fût nécessaire de dévoiler pour ce faire les engagements des prestigieuses personnalités dont l'appelant dit s'être entouré. Il résulte de ce qui précède que l'appelant n'a pu qu'employer les fonds confiés par l'intimée à des fins autres que celles convenues, à son profit, de sorte que les éléments objectifs de l'infraction d'abus de confiance sont réalisés. Les éléments subjectifs de l'intention et du dessein d'enrichissement illégitime sont aussi réunis, vu l'utilisation des fonds et l'absence, manifeste au regard de sa situation patrimoniale, de possibilité pour l'appelant de rembourser en tout temps l'intimée. Au surplus, il sera relevé que sa volonté en ce sens, certes souvent exprimée, est douteuse, aucun commencement de remboursement n'étant intervenu huit ans après les faits. Au vu de ce qui précède, le jugement entrepris doit être confirmé en ce qu'il reconnaît l'appelant coupable d'abus de confiance.</w:t>
      </w:r>
    </w:p>
    <w:p>
      <w:r>
        <w:rPr>
          <w:b/>
        </w:rPr>
        <w:t>E. 2.3.2</w:t>
      </w:r>
    </w:p>
    <w:p>
      <w:r>
        <w:t>Ainsi que l'a relevé le premier juge, il ne peut être établi au-delà de tout doute raisonnable que l'appelant a volontairement et sciemment trompé l'intimée au moment de leur accord. A retenir que tel fût le cas que le caractère astucieux de la tromperie demeurerait incertain. Il était dès lors justifié d'examiner la cause uniquement sous l'angle de l'art. 138 CP et de ne pas se prononcer sur l'éventuelle relation entre cette disposition et l'infraction d'escroquerie initialement retenue dans l'acte d'accusation.</w:t>
      </w:r>
    </w:p>
    <w:p>
      <w:r>
        <w:rPr>
          <w:b/>
        </w:rPr>
        <w:t>E. 3</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y inclus à l'étranger [ATF 105 IV 225 consid. 2 p. 226 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3.2</w:t>
      </w:r>
    </w:p>
    <w:p>
      <w:r>
        <w:t>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Le premier juge a qualifié la faute de l'appelant d'importante, eu égard à son comportement consistant à trahir la confiance d'une dame d'un certain âge et d'une grande naïveté. Les conséquences de son acte sont graves pour l'intimée, étant précisé que les allégations de l'appelant quant à la fortune dont elle disposerait sont contredites par l'exercice d'une activité professionnelle au-delà de l'âge de la retraite. L'appelant a agi par appât du gain facile. Il n'a par la suite pas hésité à endormir les soupçons de sa victime en l'appelant régulièrement pour lui promettre un remboursement et en lui faisant croire qu'il avait donné des ordres en ce sens. Huit ans après les faits, l'appelant n'a toujours pas entrepris la moindre démarche concrète en vue de rembourser la victime. Persistant dans ses manœuvres dilatoires et dans ses explications invraisemblables, l'appelant n'a aucunement pris conscience de sa faute. Au bénéfice d'une riche carrière professionnelle, il avait toutes les capacités personnelles et intellectuelles pour assumer ses dépenses sans enfreindre la loi, ce qui rend d'autant moins compréhensible son comportement. La collaboration à la procédure a été mauvaise, l'appelant n'ayant jamais présenté un état de sa situation financière propre à clarifier les faits. L'appelant n'a pas d'antécédents judiciaires en Suisse. Ceux figurant à l'extrait du casier judiciaire français sont anciens. En arrêtant la peine à 360 jours-amende, le premier juge a adéquatement tenu compte de l'ensemble de ces critères. L'appelant n'émet d'ailleurs pas de critique à cet égard, ni d'ailleurs sur le montant du jour-amende, qui correspond à sa situation financière et doit partant également être confirmé. Le sursis est acquis à l'appelant (art. 391 al. 2 CPP). Le délai d'épreuve a judicieusement été arrêté à trois ans, une durée à même de dissuader l'appelant de comportements similaires. Le jugement entrepris sera dès lors confirmé sur ce point.</w:t>
      </w:r>
    </w:p>
    <w:p>
      <w:r>
        <w:rPr>
          <w:b/>
        </w:rPr>
        <w:t>E. 4</w:t>
      </w:r>
    </w:p>
    <w:p>
      <w:r>
        <w:t>4.1.1. En vertu de l'art. 126 al. 1 let. a CPP, le tribunal statue également sur les conclusions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4.1.2. En qualité de partie plaignante, le lésé peut faire valoir des conclusions civiles déduites de l'infraction par adhésion à la procédure pénale (art. 122 al. 1 CPP). Les conclusions civiles consistent principalement en des prétentions en dommages-intérêts (art. 41ss de la loi fédérale du 30 mars 1911 complétant le Code civil suisse [CO, Code des obligations ; RS 220]) et en réparation du tort moral (art. 47 et 49 CO) dirigées contre le prévenu (A. KUHN / Y. JEANNERET (éds), Commentaire romand : Code de procédure pénale suisse , Bâle 2011, n. 16s. ad art. 122). Les prétentions contractuelles ne constituent en revanche pas des conclusions civiles au sens de l'art. 122 CPP, dès lors qu'elles ne reposent pas sur un acte illicite et ne peuvent donc se déduire de l'infraction pénale (M. NIGGLI / M. HEER / H. WIPRÄCHTIGER (éds), Strafprozessordnung – Jugendstrafprozessordnung, Basler Kommentar StPO/JStPO , 2 e éd., Bâle 2014, n. 70 ad art. 122).</w:t>
      </w:r>
    </w:p>
    <w:p>
      <w:r>
        <w:rPr>
          <w:b/>
        </w:rPr>
        <w:t>E. 4.2</w:t>
      </w:r>
    </w:p>
    <w:p>
      <w:r>
        <w:t>Compte tenu du verdict de culpabilité prononcé en première instance, confirmé en appel, c'est à juste titre que le premier juge est entré en matière sur les conclusions chiffrées de l'intimée fondées sur l'art. 41 CO. Que la responsabilité de l'appelant eût pu aussi être engagée sur un fondement contractuel n'empêchait nullement le premier juge de se prononcer : les actions des art. 41 ss et 97 ss CO ne s'excluent pas mutuellement, un seul et même acte pouvant constituer simultanément la violation d'un contrat et un acte illicite (ATF 126 III 113 consid. 2a p. 114). Par la commission de l'infraction, l'appelant a causé illicitement et fautivement à l'intimée un dommage. Les conditions fixées à l'art. 41 CO étant réunies, les prétentions de l'intimée sont fondées et c'est également à juste titre que le premier juge y a fait droit. Le montant alloué à ce titre n'est pas contesté par l'appelant, de sorte que le jugement dont est appel sera confirmé.</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w:t>
      </w:r>
    </w:p>
    <w:p>
      <w:r>
        <w:rPr>
          <w:b/>
        </w:rPr>
        <w:t>E. 5.2</w:t>
      </w:r>
    </w:p>
    <w:p>
      <w:r>
        <w:t>En l'espèce, la partie plaignante a obtenu gain de cause vu le verdict de culpabilité, de sorte que le principe d'une indemnisation de ses frais de défense par le prévenu lui est acquis. Les postes de la note d'honoraires produite relatifs à la procédure d'appel correspondent à une activité nécessaire et justifiée, facturée à un taux horaire de CHF 400.- usuel pour le canton de Genève. Par conséquent, l'appelant sera condamné à verser à la partie plaignante la somme de CHF 1'366.60 au titre de ses frais de défense en appel. Les honoraires par CHF 15'999.05, pourtant chiffrés à CHF 14'649.10 devant le premier juge, de même que le montant de CHF 695.- annoncé en sus, relèvent en revanche de l'indemnisation des frais de défense pour la procédure de première instance s'agissant de frais d'ouverture de dossier et d'activités déployées à ce stade de la procédure. L'appel émanant du prévenu, la Chambre de céans n'est pas habilitée à revoir, à la hausse, le montant alloué par le premier juge à ce titre, dans la mesure où un tel procédé violerait l'interdiction de la reformatio in pejus (art. 391 al. 2 CPP). Il n'y a pas lieu non plus de diminuer le montant de l'indemnité accordée, ce que l'appelant ne soutient d'ailleurs pas, de sorte que le jugement entrepris doit être également confirmé sur ce point.</w:t>
      </w:r>
    </w:p>
    <w:p>
      <w:r>
        <w:rPr>
          <w:b/>
        </w:rPr>
        <w:t>E. 6</w:t>
      </w:r>
    </w:p>
    <w:p>
      <w:r>
        <w:t>L'appelant qui succombe, supportera les frais de la procédure d'appel, qui comprennent un émolument de jugement de CHF 2'000.- (art. 428 al. 1 CPP et 14 al. 1 let. e du Règlement fixant le tarif des frais en matière pénale ; E 4 10.03).</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12 décembre 2014.</w:t>
      </w:r>
    </w:p>
    <w:p>
      <w:r>
        <w:rPr>
          <w:b/>
        </w:rPr>
        <w:t>E. 7.2</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En l'espèce, M e X______ n'a pas déposé d'état de frais (art. 17 RAJ). Les bases de calcul de cette indemnité étant fixées par le règlement RAJ susmentionné, la CPAR est toutefois à même d'arrêter le montant de l'indemnité. En l'occurrence, la déclaration d'appel tenant lieu de mémoire d'appel motivé a été rédigée par le précédent défenseur d'office de l'appelant. Il en résulte que l'activité de M e X______ au cours de la procédure d'appel s'est limitée à prendre connaissance de l'ordonnance présidentielle du 17 février 2015 et des observations des parties. La CPAR estime qu'une telle activité, en principe rétribuée par le biais du forfait pour l'activité diverse, est correctement indemnisée par l'octroi d'un montant de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