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P/16577/2018 vom 6. November 2018</w:t>
      </w:r>
    </w:p>
    <w:p>
      <w:r>
        <w:t>GE Cour de justice, 2018-11-06, FR</w:t>
      </w:r>
    </w:p>
    <w:p>
      <w:r>
        <w:rPr>
          <w:b/>
        </w:rPr>
        <w:t xml:space="preserve">Quelle: </w:t>
      </w:r>
      <w:r>
        <w:t>https://mcp.opencaselaw.ch/entscheid/ge_gerichte_P_16577_2018</w:t>
      </w:r>
    </w:p>
    <w:p>
      <w:r>
        <w:t>FR: GE_GERICHTE P/16577/2018 du 6 novembre 2018</w:t>
      </w:r>
    </w:p>
    <w:p>
      <w:r>
        <w:t>IT: GE_GERICHTE P/16577/2018 del 6 novembre 2018</w:t>
      </w:r>
    </w:p>
    <w:p>
      <w:pPr>
        <w:pStyle w:val="Heading2"/>
      </w:pPr>
      <w:r>
        <w:t>Regeste</w:t>
      </w:r>
    </w:p>
    <w:p>
      <w:r>
        <w:t>SOUPÇON | LB.47; CPP.310</w:t>
      </w:r>
    </w:p>
    <w:p>
      <w:pPr>
        <w:pStyle w:val="Heading2"/>
      </w:pPr>
      <w:r>
        <w:t>Erwägungen</w:t>
      </w:r>
    </w:p>
    <w:p>
      <w:r>
        <w:rPr>
          <w:b/>
        </w:rPr>
        <w:t>E. 1</w:t>
      </w:r>
    </w:p>
    <w:p>
      <w:r>
        <w:t>Le recours a été déposé selon la forme et - faute de date de notification établie (art. 85 al. 2 CPP) - dans le délai prescrits (art. 385 al. 1 et 396 al. 1 CPP), concerner une ordonnance sujette à recours auprès de la Chambre de céans (art. 310 al. 2, 322 al. 3 et 393 al. 1 let a CPP) et émaner de la plaignante, partie à la procédure (art. 104 al. 1 let. b CPP). Bien qu'elle invoque sous ce chapitre l'art. 162 CP, la recourante a un intérêt juridiquement protégé (art. 382 al. 1 CPP) à se plaindre d'une violation de l'art. 47 LB, auquel elle consacre ses moyens au fond, car cette disposition pénale ne protège pas uniquement le client, mais aussi les intérêts commerciaux de la banque, dans une acception large du bien juridique protégé (ATF 141 IV 155 consid. 4.2.5 p. 164; arrêt 6B_1314/2016 du 10 octobre 2018, destiné à la publication, consid. 4.2.).</w:t>
      </w:r>
    </w:p>
    <w:p>
      <w:r>
        <w:rPr>
          <w:b/>
        </w:rPr>
        <w:t>E. 2</w:t>
      </w:r>
    </w:p>
    <w:p>
      <w:r>
        <w:t>Tardives, les observations du Ministère public ne peuvent pas être prises en considération. L'invitation à se déterminer a été notifiée au Ministère public le 7 mars 2019, et le délai venait à échéance le lundi 18 mars 2019. Or, les observations sont datées du 28 mars 2019 et ont été reçues le lendemain au greffe.</w:t>
      </w:r>
    </w:p>
    <w:p>
      <w:r>
        <w:rPr>
          <w:b/>
        </w:rPr>
        <w:t>E. 2.3</w:t>
      </w:r>
    </w:p>
    <w:p>
      <w:r>
        <w:t>Selon l'art. 47 LB, est puni d'une peine privative de liberté de trois ans au plus ou d'une peine pécuniaire celui qui, intentionnellement, révèle un secret à lui confié ou dont il a eu connaissance en sa qualité d'employé d'une banque (al. 1 let. a) ou révèle un secret qui lui a été confié au sens de la let. a ou exploite ce secret à son profit ou au profit d'un tiers (al. 1 let. c). L'infraction commise par négligence est passible d'une amende (al. 2). "Révéler" consiste à porter à la connaissance d'autrui, même partiellement, le secret et à agrandir de façon indue le cercle des détenteurs (cf., pour l'art. 162 CP, M. DUPUIS / L. MOREILLON / C. PIGUET / S. BERGER / M. MAZOU / V. RODIGARI (éds), Code pénal - Petit commentaire , 2 e éd., Bâle 2017, n. 10 ad art. 162).</w:t>
      </w:r>
    </w:p>
    <w:p>
      <w:r>
        <w:rPr>
          <w:b/>
        </w:rPr>
        <w:t>E. 2.4</w:t>
      </w:r>
    </w:p>
    <w:p>
      <w:r>
        <w:t>En l'espèce, rien, dans les faits exposés dans la plainte pénale, ne laisse supposer que l'intimée aurait porté à la connaissance de tiers les documents qu'elle avait emportés à la fin du contrat de travail. L'on peut, certes, douter de ses explications, à savoir que ces documents lui serviraient de modèles chez son nouvel employeur, puisqu'il s'agit de procès-verbaux de séance, de messages électroniques, voire d'une formule "A" remplie; mais il n'en reste pas moins que leur simple détention, sans usage allégué ou établi envers des tiers, ne saurait constituer en elle-même la "révélation" de secrets. Leur découverte, apparemment fortuite, par suite du licenciement par le nouvel employeur, n'y change rien. Peu importe que la recourante ait fait état au Ministère public de faits nouveaux ou complémentaires dans un envoi daté de la veille de la décision querellée : dans celle-ci, le Ministère public s'est prononcé uniquement sur les faits qui avaient été portés à sa connaissance le 27 août 2018. La recourante ne soutient d'ailleurs pas le contraire. La Chambre de céans ne saurait donc aborder les accusations qui font l'objet du complément de plainte daté du 5 novembre 2018, faute de décision préalable du Ministère public sur ce point (art. 393 al. 1 let. a CPP).</w:t>
      </w:r>
    </w:p>
    <w:p>
      <w:r>
        <w:rPr>
          <w:b/>
        </w:rPr>
        <w:t>E. 3</w:t>
      </w:r>
    </w:p>
    <w:p>
      <w:r>
        <w:t>Les art. 162 CP et 47 LB étant en concours imparfait (arrêt 6B_1314/2016 , loc. cit. ), la première infraction n'a pas à être examinée.</w:t>
      </w:r>
    </w:p>
    <w:p>
      <w:r>
        <w:rPr>
          <w:b/>
        </w:rPr>
        <w:t>E. 4</w:t>
      </w:r>
    </w:p>
    <w:p>
      <w:r>
        <w:t>La recourante estime que son ancienne employée aurait violé le secret bancaire, et cette dernière objecte qu'il n'en existerait pas entre les différentes entités du groupe D______.</w:t>
      </w:r>
    </w:p>
    <w:p>
      <w:r>
        <w:rPr>
          <w:b/>
        </w:rPr>
        <w:t>E. 4.1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 faits ne sont pas punissables (ATF 137 IV 285 consid. 2.3 p. 287 et les références citées). Le principe " in dubio pro duriore " découle du principe de la légalité (art. 5 al. 1 Cst. et 2 al. 2 CPP en relation avec les art. 19 al. 1 et 324 CPP; ATF 138 IV 86 consid. 4.2 p. 91;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ATF 138 IV 86 consid. 4.1.2 p. 91; ATF 137 IV 285 consid. 2.5 p. 288;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Commentaire romand : Code de procédure pénale suisse , Bâle 2011, n. 9 ad art. 310; R. PFISTER-LIECHTI (éd.), La procédure pénale fédérale, Fondation pour la formation continue des juges suisses, Berne 2010, p. 62; DCPR/85/2011 du 27 avril 2011).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(A. KUHN / Y. JEANNERET (éds), op. cit. , n. 10 ad art. 310; DCPR/104/2011 du 11 mai 2011).</w:t>
      </w:r>
    </w:p>
    <w:p>
      <w:r>
        <w:rPr>
          <w:b/>
        </w:rPr>
        <w:t>E. 5</w:t>
      </w:r>
    </w:p>
    <w:p>
      <w:r>
        <w:t>Dès lors, la non-entrée en matière s'avère justifiée, et le recours infondé.</w:t>
      </w:r>
    </w:p>
    <w:p>
      <w:r>
        <w:rPr>
          <w:b/>
        </w:rPr>
        <w:t>E. 6</w:t>
      </w:r>
    </w:p>
    <w:p>
      <w:r>
        <w:t>La recourante, qui succombe dans toutes ses conclusions, supportera les frais de l'État, fixés en totalité à CHF 2'000.- (art. 428 al. 1 CPP et 13 al. 1 du Règlement fixant le tarif des frais en matière pénale, RTFMP; E 4 10.03).</w:t>
      </w:r>
    </w:p>
    <w:p>
      <w:r>
        <w:rPr>
          <w:b/>
        </w:rPr>
        <w:t>E. 7</w:t>
      </w:r>
    </w:p>
    <w:p>
      <w:r>
        <w:t>L'intimée, prévenue qui a gain de cause, a demandé des dépens, qu'elle ne chiffre pas. Ses observations et les pièces à l'appui étant presque intégralement consacrées à la narration du conflit qui l'oppose à la recourante ou à la banque C______ sous l'angle du droit du travail, et sans développement juridique particulier sur la question pénale topique, il lui sera alloué d'office, ex aequo et bono , CHF 500.- TTC.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