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P/16572/2020 vom 21. September 2022</w:t>
      </w:r>
    </w:p>
    <w:p>
      <w:r>
        <w:t>GE Cour de justice, 2022-09-21, FR</w:t>
      </w:r>
    </w:p>
    <w:p>
      <w:r>
        <w:rPr>
          <w:b/>
        </w:rPr>
        <w:t xml:space="preserve">Quelle: </w:t>
      </w:r>
      <w:r>
        <w:t>https://mcp.opencaselaw.ch/entscheid/ge_gerichte_P_16572_2020</w:t>
      </w:r>
    </w:p>
    <w:p>
      <w:r>
        <w:t>FR: GE_GERICHTE P/16572/2020 du 21 septembre 2022</w:t>
      </w:r>
    </w:p>
    <w:p>
      <w:r>
        <w:t>IT: GE_GERICHTE P/16572/2020 del 21 settembre 2022</w:t>
      </w:r>
    </w:p>
    <w:p>
      <w:pPr>
        <w:pStyle w:val="Heading2"/>
      </w:pPr>
      <w:r>
        <w:t>Regeste</w:t>
      </w:r>
    </w:p>
    <w:p>
      <w:r>
        <w:t>RÈGLEMENT (CE) 1987/2006;ACQUIS DE SCHENGEN;BASE DE DONNÉES | CP.122 CP; règlement (UE) 2018/1861</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Est en revanche irrecevable la conclusion de M e B______ en indemnisation des frais d'interprète. En effet, seule la voie du recours est ouverte au conseil d'office qui souhaite contester la quotité insuffisante de l'indemnité qui lui a été accordée, même si la question de l'indemnité est traitée, en cas d'appel du jugement, dans cette dernière procédure (ATF 140 IV 213 consid. 1.4 ; ATF 139 IV 199 consid. 5.6). Le délai pour former une telle contestation est donc celui fixé en matière de recours, soit dix jours (art. 396 al. 1 CPP). Le délai fixé par l'art. 396 al. 1 CPP court dès la notification du jugement motivé, la motivation devant cas échéant être demandée par le conseil d'office lui-même (arrêts du Tribunal fédéral 6B_659/2016 du 6 mars 2017 consid. 2.1 et 2.3 ; 6B_460/2016 du 27 février 2017 consid. 2.1 et 2.3 ; 6B_451/2016 du 8 février 2017 consid. 2.1 et 2.3 = SJ 2017 I 340 ; ATF 143 IV 40 consid. 3.4 et 3.6 = JdT 2017 IV p. 243). Ainsi, faute pour M e B______ d'avoir agi en temps utile, la CPAR n'entrera pas en matière sur sa demande de correction de l'indemnisation fixée par le TCO.</w:t>
      </w:r>
    </w:p>
    <w:p>
      <w:r>
        <w:rPr>
          <w:b/>
        </w:rPr>
        <w:t>E. 2</w:t>
      </w:r>
    </w:p>
    <w:p>
      <w:r>
        <w:t>L'appelant ne conteste pas son expulsion du territoire suisse, mais uniquement l'inscription de cette dernière au registre SIS.</w:t>
      </w:r>
    </w:p>
    <w:p>
      <w:r>
        <w:rPr>
          <w:b/>
        </w:rPr>
        <w:t>E. 2.1</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l'arrêt du Tribunal 6B_628/2021 du 14 juillet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Vu le contenu similaire entre les deux actes, la jurisprudence découlant du premier s'applique au second. D'après le Tribunal fédéral,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(ATF 147 IV 340 consid. 4.6 et 4.8).</w:t>
      </w:r>
    </w:p>
    <w:p>
      <w:r>
        <w:rPr>
          <w:b/>
        </w:rPr>
        <w:t>E. 2.2</w:t>
      </w:r>
    </w:p>
    <w:p>
      <w:r>
        <w:t>En l'espèce, il convient d'examiner si l'inscription de l'expulsion de l'appelant au registre SIS est proportionnée. L'appelant présente a priori un certain intérêt à la renonciation du prononcé de cette mesure, puisque l'inscription d'une expulsion au registre SIS constitue en principe une entrave à l'entrée dans les pays membres de l'espace Schengen (conformément à l'art. 14 al. 1 cum</w:t>
      </w:r>
    </w:p>
    <w:p>
      <w:r>
        <w:rPr>
          <w:b/>
        </w:rPr>
        <w:t>E. 6</w:t>
      </w:r>
    </w:p>
    <w:p>
      <w:r>
        <w:t>al. 1 let. d Règlement (UE) 2016/399 du parlement européen et du conseil du 9 mars 2016 concernant un code de l'Union relatif au régime de franchissement des frontières par les personnes [code frontières Schengen] ; cf. également N. SCHNEIDER / D. GFELLER, Landesverweisung und das Schengener Informationssystem , Sicherheit &amp; Recht 1/2019, p. 10 et le Commentaire de l'Office fédéral de la justice de l'ordonnance sur la mise en œuvre de l'expulsion pénale du 20 décembre 2016, p. 10). L'inscription mettrait probablement à néant ses chances d'obtenir l'asile en Belgique, étant précisé qu'on ignore si, au regard des accords de Dublin, l'appelant possède, avec ou sans inscription de son expulsion au registre SIS, une quelconque chance d'obtenir l'asile, qui serait irrecevable s'il a déjà introduit une demande d'asile autre part dans l'Union européenne ou les États associés. En tout état, la Belgique, voire la France selon ses projets, pourrait autoriser l'appelant à entrer et rester sur son territoire pour des motifs humanitaires ou d'intérêt national ou en raison d'obligations internationales en dérogation de l'interdiction d'entrée (cf. art. 6 al. 5 let. c du code frontières Schengen), de sorte que son intérêt privé ne paraît pas foncièrement entravé par une inscription au registre SIS. Dans l'examen de cette dérogation, la Belgique ou la France pourront examiner les menaces pour son intégrité corporelle que l'appelant allègue, sans toutefois qu'il ne les rende un tant soit peu concrètes. À la lecture de l'Accord franco-algérien consolidé du 27 décembre 1968, il paraît très peu probable qu'il puisse bénéficier de plein droit en France d'une autorisation de séjour, prévue principalement pour les membres de la famille d'une personne déjà établie en France, entrés régulièrement en France. Il n'a aucune attache quelconque dans l'espace Schengen, de sorte que son intérêt à la renonciation du prononcé de cette mesure ne paraît en définitive que faible. À l'opposé, l'intérêt public est fort à l'inscription de son expulsion au registre SIS. La présence de l'appelant, ressortissant d'un pays tiers, sur le territoire d'un État membre constitue une menace pour l'ordre et la sécurité publiques. Il a été condamné à une peine privative de liberté de 36 mois, ce qui dépasse la peine-plancher prévue dans le règlement européen comme critère pour déterminer si sa présence en Suisse constitue une telle menace. Il a quatre antécédents, qui se succèdent sur une très brève période pénale. Contrairement à ce que l'appelant soutient, ils ne sont pas uniquement liés à sa situation irrégulière, mais portent également sur des infractions contre le patrimoine et des violences ou menaces contre des autorités et les fonctionnaires. Sa culpabilité dans la présente procédure, qu'il ne conteste pas, porte sur des faits très graves. Il a délibérément et lâchement porté atteinte à l'intégrité corporelle d'une autre personne et aurait pu sérieusement mettre sa vie en danger, pour un motif hautement futile. Le TF estime qu'une inscription au SIS est en tout état proportionnée lorsqu'un danger pour l'ordre et la sécurité publiques est donné, comme c'est le cas en l'espèce (ATF 146 IV 172 consid. 3.2.2). Il ne commande en tout état pas d'examiner les risques ou non de récidive de l'appelant, peu importe dès lors de savoir, contrairement à ce qu'il soutient, si son pronostic est favorable. Ainsi, aucun élément à la procédure ne permet de considérer que la mesure prise soit disproportionnée. Ainsi, l'inscription au registre SIS ordonnée par le TCO est confirmée, et l'expulsion est étendue à l'ensemble de l'espace Schengen. L'appel est rejeté. 3. L'appelant, qui succombe, supportera les frais de la procédure envers l'État (art. 428 CPP). 4. 4.1.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4.2.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4.3.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 4.4. En l'occurrence, l'activité déployée par le conseil de l'appelant ne paraît pas nécessaire au vu de l'unique et concise question traitée en appel. Il n'est ainsi pas justifié d'étudier pendant 1h45 le dossier, étant précisé que la préparation aux débats, indemnisée à hauteur de 3h, comprendra également l'examen de la procédure. Le second entretien du mois de mars sera retranché de l'état de frais, ainsi que le second du mois d'avril. Enfin, la rédaction des actes de procédure (déclaration et annonce d'appel, demande de dispense) est comprise dans le forfait, fixé à 10 et non 20 %, au vu de l'ampleur de l'activité déployée antérieurement. La durée des débats d'appel (40 minutes) sera indemnisée au tarif d'avocate-stagiaire en sus, tout comme la vacation au Palais de justice. En conclusion, la rémunération sera arrêtée à CHF 1'741.51 correspondant à 5h05 heures d'activité au tarif de CHF 200.-/heure (CHF 1'016.67), 3h40 au tarif de CHF 110.- (CHF 403.33) plus la majoration forfaitaire de 10 % (CHF 142.-), une vacation CHF 55.- et l'équivalent de la TVA au taux de 7.7% (CHF 124.51).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