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P/16510/2020 vom 9. Oktober 2023</w:t>
      </w:r>
    </w:p>
    <w:p>
      <w:r>
        <w:t>GE Cour de justice, 2023-10-09, FR</w:t>
      </w:r>
    </w:p>
    <w:p>
      <w:r>
        <w:rPr>
          <w:b/>
        </w:rPr>
        <w:t xml:space="preserve">Quelle: </w:t>
      </w:r>
      <w:r>
        <w:t>https://mcp.opencaselaw.ch/entscheid/ge_gerichte_P_16510_2020</w:t>
      </w:r>
    </w:p>
    <w:p>
      <w:r>
        <w:t>FR: GE_GERICHTE P/16510/2020 du 9 octobre 2023</w:t>
      </w:r>
    </w:p>
    <w:p>
      <w:r>
        <w:t>IT: GE_GERICHTE P/16510/2020 del 9 ottobre 2023</w:t>
      </w:r>
    </w:p>
    <w:p>
      <w:pPr>
        <w:pStyle w:val="Heading2"/>
      </w:pPr>
      <w:r>
        <w:t>Regeste</w:t>
      </w:r>
    </w:p>
    <w:p>
      <w:r>
        <w:t>VIOLENCE DOMESTIQUE;VOIES DE FAIT;CONTRAINTE(DROIT PÉNAL);CONCOURS IMPARFAIT;PRESCRIPTION;VIOLATION DE DOMICILE | CP.126.al1; CP.181; CP.186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parole contre parole ", dans lesquels les déclarations de la victime en tant que principal élément à charge et les déclarations contradictoires de la personne accusée s'opposent, ne doivent pas nécessairement conduire à un acquittement sur la base du principe in dubio pro reo.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2.1.1</w:t>
      </w:r>
    </w:p>
    <w:p>
      <w:r>
        <w:t>Les voies de fait, sanctionnées par l'art. 126 al. 1 CP et poursuivies d'office si l'auteur a agi à réitérées reprises contre son conjoint (al. 2 let. b),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ou qu'il n'y a eu aucun contact physique entre l'auteur et la victime (cas de l'arrosage). Ont notamment été qualifiés de voies de fait : une gifle, un coup de poing ou de pied, de fortes bourrades avec les mains ou les coudes, la projection d'objets d'un certain poids, l'arrosage de la victime, le fait d'ébouriffer une coiffure soigneusement élaborée ou encore de lancer dans la direction de la victime une tasse de thé chaud puis de renverser sur elle un sucrier, dans un lieu public. Une éraflure au nez avec contusion a été considérée comme une voie de fait ; de même une meurtrissure au bras et une douleur à la mâchoire sans contusion (ATF 134 IV 189 consid. 1.3 p. 191 et les référence). En revanche, ne sont pas constitutives de voies de fait, de simples bousculades telles qu'elles interviennent dans une foule, une file d'attente (ATF 117 IV 14 consid. 2.c ; arrêts du Tribunal fédéral 6B_1009/2014 du 2 avril 2015 consid. 4.3 ; 6P.99/2001 du 8 octobre 2001 consid. 2.b).</w:t>
      </w:r>
    </w:p>
    <w:p>
      <w:r>
        <w:rPr>
          <w:b/>
        </w:rPr>
        <w:t>E. 2.1.2</w:t>
      </w:r>
    </w:p>
    <w:p>
      <w:r>
        <w:t>Se rend coupable de contrainte selon l'art. 181 CP quiconque, en usant de violence envers une personne,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(arrêt du Tribunal fédéral 6B_153/2017 du 28 novembre 2017 consid. 3.1). Pour admettre l'usage de la violence, il faut que l'acte auquel s'est livré l'auteur pour imposer sa volonté soit, de par sa nature et son intensité, objectivement propre à entraver la victime dans sa liberté d'action. Il se peut qu'une contrainte physique, d'une certaine intensité, ne parvienne pas à briser la volonté d'un homme expérimenté et de constitution robuste, mais provoque un tel résultat chez une victime inexpérimentée, une personne jeune, une femme ou encore quelqu'un de plus faible (ATF 101 IV 42 consid. 3a = JdT 1976 IV 108; M. DUPUIS / L. MOREILLON / C. PIGUET / S. BERGER / M. MAZOU / V. RODIGARI [éds], Code pénal - Petit commentaire, 2ème éd., Bâle 2017, n. 10 ad art. 181). Pour que la contrainte soit consommée, il faut que la victime, sous l'effet de moyens de contrainte illicites, commence à modifier son comportement, subissant ainsi l'influence voulue par l'auteur (arrêt du Tribunal fédéral 6B_719/2015 du 4 mai 2016 consid. 2.1). Sur le plan subjectif, l'auteur doit avoir agi intentionnellement, c'est-à-dire avoir voulu contraindre la victime à adopter le comportement visé en étant conscient de l'illicéité de son comportement ; le dol éventuel suffit (ATF 120 IV 17 consid. 2c).</w:t>
      </w:r>
    </w:p>
    <w:p>
      <w:r>
        <w:rPr>
          <w:b/>
        </w:rPr>
        <w:t>E. 2.1.3</w:t>
      </w:r>
    </w:p>
    <w:p>
      <w:r>
        <w:t>La jurisprudence et la doctrine abordent de la façon suivante la problématique du concours entre l'infraction de contrainte et une atteinte à l'intégrité corporelle : - lorsque la violence est utilisée à des fins de contrainte, l'art. 181 exclut l'art. 126 CP, les voies de fait sont englobées dans la contrainte (concours imparfait) ; - dans les cas où la contrainte est purement accessoire aux infractions contre la vie ou l'intégrité corporelle, celles-ci l'emportent sur l'art. 181 CP. C'est le cas d'un auteur qui détient la victime pour la battre ; - enfin, il y a concours idéal si la contrainte peut être considérée comme un comportement suffisamment distinct de l'infraction d'atteinte à l'intégrité corporelle pour être réprimée séparément, notamment en raison de sa durée ou de son intensité. (ATF 104 IV 170 consid. 2 ; arrêt du Tribunal fédéral 6B_976/2014 du 2 avril 2015 ; M. DUPUIS / L. MOREILLON / C. PIGUET / S. BERGER / M. MAZOU / V. RODIGARI (éds), Code pénal - Petit commentaire, 2e éd., Bâle 2017, n. 42 ad art. 181 ; A. DONATSCH, Strafrecht III, Delikte gegen den Einzelnen, Zurich 2013, p. 438 ; J. HORTADO POZO, Droit pénal, partie spéciale, Zurich 2009 ; M. NIGGLI / H. WIPRÄCHTIGER, Basler Kommentar Strafrecht II : Art. 111-392 StGB, 3e éd., Bâle 2013, n. 68 ss ad art. 182 ; CORBOZ, op. cit, n. 43 s. ad art. 181 CP ; S. TRECHSEL / M. PIETH, Schweizerisches Strafgesetznuch, Praxiskommentar, Berne 2017, p. 1049 ; AARP/39/2019 du 25 janvier 2019).</w:t>
      </w:r>
    </w:p>
    <w:p>
      <w:r>
        <w:rPr>
          <w:b/>
        </w:rPr>
        <w:t>E. 2.1.4</w:t>
      </w:r>
    </w:p>
    <w:p>
      <w:r>
        <w:t>Commet une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Cette protection appartient à quiconque a le pouvoir de disposer des lieux (ATF 128 IV 81 consid. 3a ; 118 IV 167 consid. 1c ; arrêt 6B_1025/2021 du 2 mai 2022 consid. 2.2 ; M. DUPUIS / L. MOREILLON / C. PIGUET / S. BERGER / M. MAZOU / V. RODIGARI, Code pénal – Petit commentaire, 2 ème éd., Bâle 2017, n. 5 et 20 ad art. 186). Le droit d'utiliser les lieux (liberté de domicile) prend naissance avec leur occupation et cesse avec le départ de l'occupant (ATF 112 IV 31 consid. 3b). En d'autres termes, l'ayant droit est la personne qui a la maîtrise des lieux (B. CORBOZ, op. cit. n. 26 ad art. 186 ; ATF 112 IV 33 consid. 3). Dans un couple, les deux partenaires sont titulaires du droit au domicile, sans égards à leur qualité respective de propriétaire ou de locataire (ATF 103 IV 162 , consid. 1). Si le juge civil a attribué la jouissance du logement conjugal à l’un des époux, ce dernier devient seul ayant droit. L’autre époux, quelle que soit sa relation de droit réel ou personnel avec l’habitation, peut donc tomber sous le coup de CP 186 (A. MACALUSO/ L. MOREILLON/ N. QUELOZ [éd.], Commentaire romand, Code pénal II, Bâle 2017, n. 17-18 ad art. 186 CP). Dans l’hypothèse où l’auteur demeure malgré une sommation de sortir, l’ayant droit doit communiquer à l’intrus sa volonté de manière intelligible (A. MACALUSO/ L. MOREILLON/ N. QUELOZ [éd.], op. cit., n.25 ad art. 186 CP). Le comportement reproché implique de ne pas obtempérer pendant un certain temps, ce qui laisse ainsi apparaître qu’il n'est tenu aucun compte de l’interdiction signifiée par l’ayant droit. Celui qui obéit à la première réquisition, même de manière hésitante, ne demeure pas. Ainsi, d’un point de vue objectif, celui qui se conforme immédiatement à l’ordre de sortir, mais qui, arrivé sur le seuil, se retourne et brandit un poing vengeur, avant de s’éloigner, ne réalise pas le comportement oppositionnel requis du seul fait de cette interruption dans son mouvement. Le caractère répréhensible réside en effet en ce que l’auteur continue durablement à imposer sa présence à l’ayant droit. Tel est par exemple le cas de celui qui reste près de cinq minutes dans le corridor d’une habitation, alors qu’il était sommé de partir (A. MACALUSO/ L. MOREILLON/ N. QUELOZ [éd.], Commentaire romand, Code pénal II, Bâle 2017, n. 38 ad art. 186 CP). Faits du 30 avril 2020 2.2.1. En l'espèce, l'intimé admet avoir entendu et compris l'injonction de son épouse de quitter les lieux, à plusieurs reprises. Il reconnait, en outre, ne pas s'être exécuté immédiatement car il voulait passer, comme convenu, encore du temps avec ses enfants, n'obtempérant, selon ses dernières déclarations, qu'au moment où l'appelante avait demandé à leur fille d'apporter le téléphone pour appeler la police. Il est également établi qu'aucune décision judiciaire attribuant la jouissance exclusive du domicile conjugal n'avait encore été rendue. Néanmoins, cela faisait dix mois que les parties vivaient séparément, l'intimé s'étant constitué un nouveau domicile, de sorte qu'il doit être admis qu'il en avait perdu la maîtrise effective, ce qu'il savait au demeurant puisqu'il s'y rendait sur invitation de l'appelante. Aussi, l'intimé pouvait tomber sous le coup d'une violation de domicile. L'appelante ne peut cependant être suivie lorsqu'elle indique que son mari n'a obtempéré qu'après 15 minutes. En effet, il ressort des déclarations des parties et du témoin que l'intimé est arrivé sur les lieux, comme convenu, à 13h00. Il s'est ensuite rendu à l'étage pour jouer avec ses filles avant son altercation avec la nounou, laquelle s'est produite aux alentours de 13h30, soit l'heure à laquelle la plus jeune des filles devait aller à la sieste, toujours selon les déclarations des trois protagonistes. Or, il ressort du rapport de police que son intervention a été requise à 13h30, alors que l'intimé avait déjà quitté les lieux. Ainsi, il appert que la durée de l'altercation, respectivement le temps mis par l'intimé pour sortir de la maison à compter de la première somation se rapproche plus des cinq minutes estimées par ce dernier. Cela étant, cette dernière estimation suffit déjà à réaliser l'infraction, conformément aux exemples précités. Au vu de ce qui précède, l'intimé sera reconnu coupable de violation de domicile. 2.2.2. S'agissant des faits en lien avec le téléphone portable, il ressort des déclarations des parties que l'intimé a bien arraché l'objet des mains de son épouse pour l'empêcher d'appeler la police ; seules demeurent contestées la torsion de l'avant-bras gauche de l'appelante et les marques y relatives, l'intimé reconnaissant uniquement avoir " probablement touché " le bras de cette dernière, dans son geste. À cet égard, les dénégations de l'intimé n'emportent pas conviction. En effet, celui-ci admet que la situation était tendue, en raison principalement de l'important conflit conjugal qui l'opposait à son épouse. Cette situation a été sans nul doute exacerbée par le comportement de l'appelante, impliquant leur enfant pour le chasser du domicile, faits établis à teneur des déclarations concordantes des parties. La Cour a donc l'intime conviction que l'intimé s'est précipité pour empêcher son épouse de contacter les forces de l'ordre et a recouru à l'usage de la force physique. Il ressort en outre des constatations de police que l'appelante était en pleurs et qu'elle était sous le choc, état compatible avec les violences qu'elle a décrites de manière relativement constante, ayant certes quelque peu varié, arguant tantôt que l'intimé lui aurait tordu le bras aux fins de récupérer l'objet, tantôt l'aurait blessée une fois en possession de celui-ci, ou encore qu'il lui aurait ensuite rendu l'appareil avant de se rallier à la version de l'intimé, soit qu'il l'avait jeté sur le canapé ; ces variations peuvent en effet s'expliquer du fait qu'il s'agissait d'une scène dynamique relativement brève. Il a ainsi à tout le moins causé, par dol éventuel, les atteintes décrites au dossier et qui sont établies par certificat médical et témoignage. L'intensité de cet acte était suffisante pour entraver l'appelante, qui est une femme de plus petite stature, dans son élan et réduire à néant sa volonté et ses efforts. Ainsi, la Cour retient que l'intimé a fait usage de violence pour contraindre l'appelante à ne pas prévenir les forces de l'ordre, résultat qui s'est bien réalisé sur le moment. Ce faisant, il s'est rendu coupable de contrainte, laquelle absorbe les voies de fait causées, dès lors que la force physique a été utilisée principalement pour arrêter l'appelante dans son action, ce dont il n'avait aucun droit. Cela étant, la Cour relève que l'arrêt AARP/39/2019 cité par la plaignante ne lui aurait été d'aucun secours, dès lors que le Tribunal fédéral avait cassé la solution retenue dans son arrêt 6B_386/2019 du 25 septembre 2019, d'une part, et que les voies de fait dont elle se prévaut sont désormais prescrites (art. 109 CP cum art. 97 al. 3 CP), d'autre part. Au vu de ce qui précède, le jugement entrepris sera modifié dans ce sens. Faits du 31 août 2020 2.2.3. Si les parties s'accordent à dire qu'une dispute verbale s'est produite ce jour-là, elles divergent quant au point de savoir si l'intimé a poussé l'appelante avec son torse, ce que l'intimé a toujours contesté. Or, les deux témoins n'ont fait part d'aucun contact physique, la première soulignant que l'intimé se trouvait dans l'espace personnel de l'appelante, et la seconde relevant qu'il s'était parfois livré à des commentaires déplacés ou s'était mis en travers du chemin de son épouse pour lui faire barrage. L'appelante a en outre indiqué n'avoir pas été blessée lors de cette bousculade et il ne ressort pas non plus qu'elle se soit plainte de souffrances morales ou d'une humiliation intolérables. Elle a enfin estimé que la proximité physique n'avait pas duré plus de trois minutes. Partant, la bourrade n'est pas établie à teneur du dossier et n'excèderait, en tout état, manifestement pas ce qui est socialement toléré. Cela étant, la Cour relève que lesdites voies de fait auraient également été prescrites à ce jour. Partant, l'appel sera rejeté sur ce point et l'acquittement confirmé. Faits du 16 novembre 2020 2.2.4. Dans ce cas également les déclarations des parties se rejoignent quant à l'existence d'une altercation verbale mais divergent quant aux coups portés au pied et à la jambe de l'appelante. Aucune preuve matérielle ne figure au dossier, ni même le moindre témoignage indirect ; en particulier, les policiers intervenus n'ont pas rapporté les émotions de l'appelante à ce moment et le pédiatre n'a pas été entendu ce qui aurait permis de confirmer ou infirmer la teneur de la conversation qu'il aurait eue avec l'intimé lorsque celui-ci est remonté au cabinet. La Cour peine également à comprendre pourquoi, selon la version de l'appelante, l'intimé serait parti après ses méfaits, puis revenu au cabinet dix minutes plus tard, comportement aussi incompréhensible qu'incompatible avec celui d'une personne qui aurait quelque chose à se reprocher et craindrait que le moindre incident ne soit utilisé à son encontre. Ainsi, en présence de versions contradictoires qu'aucun élément au dossier ne permet de soutenir, et dans la mesure où les parties étaient aux prises d'un important conflit conjugal qu'aucune décision judiciaire n'était encore venue arbitrer, la Cour éprouve un doute insurmontable devant profiter à l'intimé. Partant, l'appel sera également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Selon l'art. 48 let. c CP, le juge atténue la peine si l'auteur a agi en proie à une émotion violente que les circonstances rendaient excusable.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119 IV 202 consid. 2a ; arrêt du Tribunal fédéral 6B_443/2020 du 11 juin 2020, consid. 1.2.1). Cet état doit être rendu excusable par les circonstances.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Enfin, il faut qu'il existe une certaine proportionnalité entre la provocation, d'une part, et la réaction de l'auteur, d'autre part (ATF 147 IV 249 consid. 2.3 ; 147 IV 249 consid. 2.2 ; arrêt 6B_443/2020 précité). 3.1.5. Aux termes de l'art. 42 al. 1 CP, le juge suspend en règle générale l'exécution d'une peine pécuniaire ou d'une peine privative de liberté de deux ans au plus lorsqu'une peine ferme ne paraît pas nécessaire pour détourner l'auteur d'autres crimes ou délits. 3.1.6. D'après l'art. 52 CP, si la culpabilité de l'auteur et les conséquences de son acte – conditions cumulatives – sont peu importantes, l'autorité compétente renonce à lui infliger une peine. 3.2.1. Les infractions aux art. 181 CP et 186 CP sont sanctionnées d'une peine privative de liberté de trois ans au plus ou d'une peine pécuniaire. 3.2.2. En l'espèce, la faute de l'intimé n'est pas négligeable. Il s'en est pris au domaine privé et à la liberté de son épouse, par crainte d'être désavantagé dans la procédure civile et par frustration face aux décisions unilatérales imposées par elle, soit des mobiles égoïstes. Sa collaboration doit être qualifiée de moyenne dans la mesure où il a admis la majorité des faits mais a persisté à minimiser les infractions les plus importantes. L'absence d'appel de sa part dénote cependant une certaine prise de conscience. Sa situation personnelle, soit la séparation particulièrement conflictuelle, explique ses actes mais ne les justifie pas. Cela étant, l'atténuante de l'état d'émotion violente excusable ne saurait s'appliquer au cas d'espèce, dès lors qu'il lui appartenait de quitter le domicile, sans tarder et à la première demande de son épouse, de sorte qu'il est en partie responsable de cette situation. En outre, plutôt que de priver sa femme de son portable, il aurait pu passer la porte pour faire preuve de sa bonne volonté. Son casier judiciaire fait état de deux condamnations, non spécifiques et anciennes. Il y a concours d'infractions, facteur aggravant de la peine. Au vu de ce qui précède, l'infraction de contrainte étant objectivement la plus grave, elle justifie une peine pécuniaire de base de 30 jours, laquelle doit être augmentée de 15 jours supplémentaires pour tenir compte de la violation de domicile (peine hypothétique : 30 jours), soit 45 jours-amende au total. L'unité sera fixée à CHF 280.- conformément à ce que le MP avait retenu. Dès lors qu'il n'y a pas lieu de craindre une récidive de sa part, l'intimé sera mis au bénéfice du sursis dont la durée sera fixée à trois ans. L'exemption de peine pour la contravention à l'art. 179 CP est acquise.</w:t>
      </w:r>
    </w:p>
    <w:p>
      <w:r>
        <w:rPr>
          <w:b/>
        </w:rPr>
        <w:t>E. 4.1</w:t>
      </w:r>
    </w:p>
    <w:p>
      <w:r>
        <w:t>L'appel a été partiellement admis dans la mesure où l'intimé a été condamné pour violation de domicile et contrainte, mais acquitté à deux reprises de voies de fait (pour les épisodes des 31 août 2020 et 16 novembre 2020), l'appelante ayant de surcroît retiré sa conclusion en culpabilité de l'art. 179septies CP. Ainsi, il se justifie de leur faire supporter par moitié les frais de la procédure d'appel, lesquels comprendront un émolument de jugement en CHF 2'000.- (art. 428 al. 1 CPP)</w:t>
      </w:r>
    </w:p>
    <w:p>
      <w:r>
        <w:rPr>
          <w:b/>
        </w:rPr>
        <w:t>E. 4.2</w:t>
      </w:r>
    </w:p>
    <w:p>
      <w:r>
        <w:t>Vu l'issue de l'appel, il y a lieu de revoir également les frais de première instance (art. 428 al. 3 CPP). En définitive, l'intimé est reconnu coupable de trois infractions sur les huit qui lui étaient reprochées, de sorte qu'un tiers de ces frais seront mis à sa charge, soit CHF 415.-, le solde restant à la charge de l'État.</w:t>
      </w:r>
    </w:p>
    <w:p>
      <w:r>
        <w:rPr>
          <w:b/>
        </w:rPr>
        <w:t>E. 5.1</w:t>
      </w:r>
    </w:p>
    <w:p>
      <w:r>
        <w:t>Aux termes de l'art. 433 al. 1 let. a CPP, la partie plaignante peut demander au prévenu une juste indemnité pour les dépenses obligatoires occasionnées par la procédure lorsqu'elle obtient gain de cause.</w:t>
      </w:r>
    </w:p>
    <w:p>
      <w:r>
        <w:rPr>
          <w:b/>
        </w:rPr>
        <w:t>E. 5.2</w:t>
      </w:r>
    </w:p>
    <w:p>
      <w:r>
        <w:t>La partie plaignante ayant obtenu partiellement gain de cause en appel, le principe de l'indemnisation pour ses frais d'avocat lui est acquis. La note d'honoraire présentée par M e B______ répond globalement aux exigences jurisprudentielles. Sera encore ajoutée la durée des débats de 2h30. Au vu de ce qui précède, l'intimé sera condamné à verser à l'appelante la somme de CHF 6'072.50, représentant la moitié de ses prétentions, soit CHF 4'232.65 pour la première instance et CHF 1'839.85 pour ses frais d'appel, TVA de 7,7% y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