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P/16471/2023 vom 17. August 2023</w:t>
      </w:r>
    </w:p>
    <w:p>
      <w:r>
        <w:t>GE Cour de justice, 2023-08-17, FR</w:t>
      </w:r>
    </w:p>
    <w:p>
      <w:r>
        <w:rPr>
          <w:b/>
        </w:rPr>
        <w:t xml:space="preserve">Quelle: </w:t>
      </w:r>
      <w:r>
        <w:t>https://mcp.opencaselaw.ch/entscheid/ge_gerichte_P_16471_2023</w:t>
      </w:r>
    </w:p>
    <w:p>
      <w:r>
        <w:t>FR: GE_GERICHTE P/16471/2023 du 17 août 2023</w:t>
      </w:r>
    </w:p>
    <w:p>
      <w:r>
        <w:t>IT: GE_GERICHTE P/16471/2023 del 17 agosto 2023</w:t>
      </w:r>
    </w:p>
    <w:p>
      <w:pPr>
        <w:pStyle w:val="Heading2"/>
      </w:pPr>
      <w:r>
        <w:t>Regeste</w:t>
      </w:r>
    </w:p>
    <w:p>
      <w:r>
        <w:t>DÉTENTION PROVISOIRE;SOUPÇON;AUDITION OU INTERROGATOIRE;DROITS DE LA DÉFENSE | CPP.221; CPP.142; CPP.158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e éd., Bâle 2019, n. 4a ad art. 142), ou encore des discussions sur des aspects organisationnels, liés à la conduite de la procédure (fixer la date d'un acte de procédure, discuter de la suite de la procédure, notamment des preuves qui restent à administrer, etc.) (N. SCHMID / D. JOSITSCH, Schweizerische Strafprozessordnung, Praxiskommentar , 3 e éd., Zurich 2018, n. 2 ad art. 142). Toutefois, cette première prise de contact ne devrait pas déboucher sur une audition avant l'heure des personnes concernées. Ces dernières peuvent tout au plus être appelées à décliner leur identité et, succinctement, leurs liens avec les parties ou l'état de fait à élucider, de manière à ce que le ministère public soit en mesure de se prononcer sur la pertinence de l'audition et/ou leur statut lors de celle-ci (A. GUISAN, La violation du droit de participer [art. 147 CPP] , PJA 2019 337 ss, p. 340). De tels interrogatoires – aussi dits " de porte à porte " (" Klinkenputzen " ; cf. L. BÜRGE, Polizeiliche Ermittlung und Untersuchung , 2018, p. 196 nbp 1142) ou " auditions ad hoc " (cf. Y. JEANNERET / A. KUHN / C. PERRIER DEPEURSINGE [éds], op. cit. , n. 4a ad art. 142) – doivent être interrompus aussitôt qu'il est établi que l'intéressé dispose d'éléments utiles à l'enquête, pour ne reprendre que lors d'une audition formelle, en présence des parties (B. A. TANNER, Das Teilnahmerecht der Privatklägerschaft nach Art. 147 StPO und seine Grenzen , Zurich 2018, p. 141 ; N. SCHMID / D. JOSITSCH, Handbuch des schweizerischen Strafprozessrechts , 3 e éd., Zurich 2017, n. 1233 nbp 81 ; D. BONIN / G. MÜNCH, note sur l'arrêt UH130204 de l' Obergericht Zurich, forumpoenale 4/2014 214 ss, p. 217). En revanche, si, passé ce stade, la discussion informelle se poursuit, elle devient matériellement une audition au sens des art. 142 ss CPP et doit dès lors respecter les règles applicables en la matière, dont les informations à donner au comparant (cf. not. art. 158 CPP) (cf. A. DONATSCH / V. LIEBER / S. SUMMERS / W. WOHLERS [éds], op. cit. , n. 5 s. ad art. 143). Il convient de déterminer, par une analyse ex post , le moment exact à partir duquel l'intensité des soupçons préexistants faisait que la police ne pouvait plus se contenter d'un échange informel ; la doctrine relève le caractère délicat d'un tel exercice (A. DONATSCH / V. LIEBER / S. SUMMERS / W. WOHLERS [éds], op. cit. , n. 10 ad art. 143 ; Y. JEANNERET / A. KUHN / C. PERRIER DEPEURSINGE [éds], op. cit. , n. 4b ad art. 143 ; B. A. TANNER, op. cit. , p. 141).</w:t>
      </w:r>
    </w:p>
    <w:p>
      <w:r>
        <w:rPr>
          <w:b/>
        </w:rPr>
        <w:t>E. 2.1</w:t>
      </w:r>
    </w:p>
    <w:p>
      <w:r>
        <w:t>La procédure préliminaire se compose de la procédure d'investigation de la police et de l'instruction conduite par le ministère public (art. 299 al. 1 CPP).</w:t>
      </w:r>
    </w:p>
    <w:p>
      <w:r>
        <w:rPr>
          <w:b/>
        </w:rPr>
        <w:t>E. 2.2</w:t>
      </w:r>
    </w:p>
    <w:p>
      <w:r>
        <w:t>Lors de ses investigations, la police établit les faits constitutifs de l’infraction; ce faisant, elle se fonde sur les dénonciations, les directives du ministère public ou ses propres constatations (art. 306 al. 1 CPP). La police doit notamment : a. mettre en sûreté et analyser les traces et les preuves ; b. identifier et interroger les lésés et les suspects ; c. appréhender et arrêter les suspects ou les rechercher si nécessaire (al. 2). Sous réserve de dispositions particulières, la police observe dans son activité les dispositions applicables à l’instruction, aux moyens de preuves et aux mesures de contrainte (al. 3). L'art. 142 al. 2 CPP prévoit que la police peut entendre les prévenus et les personnes appelées à donner des renseignements. Au début de l'audition, le comparant, dans une langue qu'il comprend, est avisé de façon complète de ses droits et obligations (art. 143 al. 1 let. c CPP). 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d. qu’il peut demander l’assistance d’un traducteur ou d’un interprète. Les auditions effectuées sans que ces informations aient été données ne sont pas exploitables (al. 2).</w:t>
      </w:r>
    </w:p>
    <w:p>
      <w:r>
        <w:rPr>
          <w:b/>
        </w:rPr>
        <w:t>E. 2.3</w:t>
      </w:r>
    </w:p>
    <w:p>
      <w:r>
        <w:t>Les interrogatoires de la police doivent être compris dans un sens formel, conformément à l'art. 142 al. 2 CPP et ils englobent aussi les discussions informelles. La police (et non le ministère public ou les tribunaux) peut entamer des discussions informelles avec les personnes prévenues dans le but de clarifier les faits et de déterminer les infractions qui ont été commises (L. MOREILLON / A. PAREIN-REYMOND, CPP, Code de procédure pénale , 2ème éd., Bâle 2016, n. 14 ad art. 306 CPP, et les références citées). Selon la jurisprudence, la police peut – même après l'ouverture de l'instruction et sans délégation formelle du ministère public – procéder à des actes simples (" einfache Erhebungen ") destinés à clarifier les faits, comme par exemple identifier des lésés, des témoins, etc., puis les interroger à titre informatif (" informatorische Befragung ") afin de déterminer s'ils sont en mesure de faire des déclarations pertinentes en lien avec les faits sous enquête. Les parties ne peuvent pas participer à de tels actes (ATF 143 IV 397 consid. 3.4.2 et les références citées ; cf. aussi arrêts du Tribunal fédéral 6B_415/2021 du 11 octobre 2021 consid. 2.3.3 ; 6B_1080/2020 précité consid. 5.4 ; 6B_1023/2016 du 30 mars 2017 consid. 1.2.2 ; 6B_217/2015 du 5 novembre 2015 consid. 2.2, non publié à l'ATF 141 IV 423 ). La doctrine mentionne également le cas de déclarations spontanées, qui n'ont pas été provoquées par l'autorité, comme des plaintes pénales, des appels d'urgence ou des aveux ad hoc (cf. A. DONATSCH / V. LIEBER / S. SUMMERS / W. WOHLERS [éds], Kommentar zur Schweizerischen Strafprozessordnung , 3 e éd., Zurich 2020, n. 6 ad art. 142 ; Y. JEANNERET / A. KUHN / C. PERRIER DEPEURSINGE [éds], Commentaire romand, Code de procédure pénale,</w:t>
      </w:r>
    </w:p>
    <w:p>
      <w:r>
        <w:rPr>
          <w:b/>
        </w:rPr>
        <w:t>E. 2.4</w:t>
      </w:r>
    </w:p>
    <w:p>
      <w:r>
        <w:t>En l'espèce, les propos litigieux – contestés par le recourant – auraient été tenus au moment de son interpellation, avant l'ouverture de l'instruction par le Ministère public. Il n'appartient pas à la Chambre de céans de déterminer si ces révélations ont eu lieu ou pas. Seule doit ici être examinée la question de savoir si l'échange de propos entre la police et le recourant a été mené dans le cadre des discussions informelles autorisées par l'investigation policière, selon les principes jurisprudentiels et doctrinaux sus-rappelés. En l'occurrence, les policiers sont intervenus, sur appel de la CECAL, en raison d'un individu agressif et non pas pour les actes de contrainte sexuelle qui ont été dénoncés. Ces accusations étant portées à l'encontre du recourant, les policiers l'ont questionné oralement. Cette manière de faire ne sortait ainsi pas du cadre des discussions informelles autorisées au moment de l'interpellation d'un suspect, en vue notamment d'éclaircir les faits et décider s'il y avait lieu ou non de le conduire au poste en vue de son audition. Le recourant reproche aux policiers d'avoir procédé à son " interrogatoire ", sans lui avoir préalablement communiqué ses droits au sens de l'art. 158 CPP. Il ne ressort toutefois pas du rapport d'arrestation que les policiers se seraient livrés à une véritable audition, lors de laquelle il aurait été invité à s'exprimer sur les faits et aurait répondu aux questions des policiers (cf. art. 143 al. 4 et 5 CPP). Le recourant n'allègue d'ailleurs pas que d'autres questions lui auraient été posées, ni n'expose lesquelles. La brève réponse mentionnée dans le rapport montre que l'échange informel avec les policiers n'a pas été au-delà des investigations policières autorisées et ne saurait ainsi être qualifié d'audition au sens des art. 142 ss CPP. Par conséquent, l'art. 158 CPP ne trouvait pas application à ce stade. Le recourant, qui n'en était pas à sa première audition par la police (cf B.b . ci-dessus et ses antécédents judiciaires), ne s'y est d'ailleurs pas trompé puisqu'avant d'être entendu en qualité de prévenu, il a demandé d'emblée de pouvoir faire appel à un avocat. Le grief d'inexploitabilité des déclarations retranscrites dans le rapport d'arrestation et dans les procès-verbaux ne peut ainsi qu'être rejeté (art. 158 al. 3 CPP). Il appartiendra, le cas échéant, au juge du fond d'apprécier l'ensemble des preuves (cf. art. 331 CPP; cf. aussi arrêt du Tribunal fédéral 1B_63/2019 du 16 avril 2019 consid. 2.3 et 2.6).</w:t>
      </w:r>
    </w:p>
    <w:p>
      <w:r>
        <w:rPr>
          <w:b/>
        </w:rPr>
        <w:t>E. 3</w:t>
      </w:r>
    </w:p>
    <w:p>
      <w:r>
        <w:t>Le grief du recourant selon lequel son droit d'être entendu aurait été violé tombe à faux, compte tenu des développements qui précèdent.</w:t>
      </w:r>
    </w:p>
    <w:p>
      <w:r>
        <w:rPr>
          <w:b/>
        </w:rPr>
        <w:t>E. 4</w:t>
      </w:r>
    </w:p>
    <w:p>
      <w:r>
        <w:t>Le recourant sous-entend que les charges retenues seraient insuffisantes dès lors qu'elles reposent essentiellement sur ses déclarations litigieuses selon lesquelles il aurait admis avoir eu " vite fait " une fellation de la part de la plaignante.</w:t>
      </w:r>
    </w:p>
    <w:p>
      <w:r>
        <w:rPr>
          <w:b/>
        </w:rPr>
        <w:t>E. 4.1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4.2</w:t>
      </w:r>
    </w:p>
    <w:p>
      <w:r>
        <w:t>En l'espèce, les charges ne reposent pas seulement sur les déclarations litigieuses du recourant, étant souligné qu'il n'appartient pas au juge de la détention d'apprécier leur crédibilité. Elles ressortent également de la première audition de G______, dont les propos sont corroborés par ceux de E______ et de H______, lesquels ont d'emblée dénoncé les faits à la police. Partant, il existe en l'état des soupçons suffisants d'infraction grave, au sens de l'art. 221 al. 1 CPP, pour justifier la détention provisoire.</w:t>
      </w:r>
    </w:p>
    <w:p>
      <w:r>
        <w:rPr>
          <w:b/>
        </w:rPr>
        <w:t>E. 5</w:t>
      </w:r>
    </w:p>
    <w:p>
      <w:r>
        <w:t>Le recourant ne conteste pas les risques (fuite, collusion et réitération) retenus par l'ordonnance querellée, de sorte qu'il n'y a pas à s'y attarder, mais à renvoyer, en tant que de besoin, à la motivation adoptée par le premier juge (art 82 al. 4 CPP; ACPR/747/2020 du 22 octobre 2020 consid. 2 et les références).</w:t>
      </w:r>
    </w:p>
    <w:p>
      <w:r>
        <w:rPr>
          <w:b/>
        </w:rPr>
        <w:t>E. 6</w:t>
      </w:r>
    </w:p>
    <w:p>
      <w:r>
        <w:t>Il estime que des mesures de substitution pourraient pallier lesdits risques.</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 documents d'identité et d'autres documents officiels (al. 2 let. b), l'assignation à résidence ou l'interdiction de se rendre dans un certain lieu ou un certain immeuble (al. 2 let. c), l'obligation de se présenter régulièrement à un service administratif (al. 2 let. d), l'obligation d'avoir un travail régulier (al. 2 let. e), l'interdiction d'entretenir des relations avec certaines personnes (al. 2 let. g). La liste des mesures de substitution énoncée à l'art. 237 CPP n'est pas exhaustive (arrêt du Tribunal fédéral 1B_654/2011 du 7 décembre 2011 consid. 4.2).</w:t>
      </w:r>
    </w:p>
    <w:p>
      <w:r>
        <w:rPr>
          <w:b/>
        </w:rPr>
        <w:t>E. 6.2</w:t>
      </w:r>
    </w:p>
    <w:p>
      <w:r>
        <w:t>Les mesures de substitution proposées par le prévenu, prises ensemble ou séparément ne sont pas de nature à diminuer les risques qu'il présente, étant souligné qu'il lui est reproché d'avoir commis les faits reprochés alors même qu'il bénéficiait déjà de mesures de substitution similaires.</w:t>
      </w:r>
    </w:p>
    <w:p>
      <w:r>
        <w:rPr>
          <w:b/>
        </w:rPr>
        <w:t>E. 7</w:t>
      </w:r>
    </w:p>
    <w:p>
      <w:r>
        <w:t>La durée de la détention provisoire, pour une durée de trois mois, est largement proportionnée à la peine concrètement encourue si le recourant devait être reconnu coupable des infractions dont il est soupçonné.</w:t>
      </w:r>
    </w:p>
    <w:p>
      <w:r>
        <w:rPr>
          <w:b/>
        </w:rPr>
        <w:t>E. 8</w:t>
      </w:r>
    </w:p>
    <w:p>
      <w:r>
        <w:t>Le recours s'avère ainsi infondé et doit être rejeté.</w:t>
      </w:r>
    </w:p>
    <w:p>
      <w:r>
        <w:rPr>
          <w:b/>
        </w:rPr>
        <w:t>E. 9</w:t>
      </w:r>
    </w:p>
    <w:p>
      <w:r>
        <w:t>Le recourant, qui succombe, supportera les frais envers l'État, fixés en totalité à CHF 900.- (art. 428 al. 1 CPP et 13 al. 1 du Règlement fixant le tarif des frais en matière pénale, RTFMP ; E 4 10.03).</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