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P/1642/2017 vom 6. Dezember 2018</w:t>
      </w:r>
    </w:p>
    <w:p>
      <w:r>
        <w:t>GE Cour de justice, 2018-12-06, FR</w:t>
      </w:r>
    </w:p>
    <w:p>
      <w:r>
        <w:rPr>
          <w:b/>
        </w:rPr>
        <w:t xml:space="preserve">Quelle: </w:t>
      </w:r>
      <w:r>
        <w:t>https://mcp.opencaselaw.ch/entscheid/ge_gerichte_P_1642_2017</w:t>
      </w:r>
    </w:p>
    <w:p>
      <w:r>
        <w:t>FR: GE_GERICHTE P/1642/2017 du 6 décembre 2018</w:t>
      </w:r>
    </w:p>
    <w:p>
      <w:r>
        <w:t>IT: GE_GERICHTE P/1642/2017 del 6 dicembre 2018</w:t>
      </w:r>
    </w:p>
    <w:p>
      <w:pPr>
        <w:pStyle w:val="Heading2"/>
      </w:pPr>
      <w:r>
        <w:t>Regeste</w:t>
      </w:r>
    </w:p>
    <w:p>
      <w:r>
        <w:t>IN DUBIO PRO REO;VIOLENCE CONTRE LES AUTORITÉS;LÉSION CORPORELLE SIMPLE;CONCOURS RÉEL | CP.123; CP.285.ch1; CP.49.al2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Conformément à l'art. 285 ch. 1 CP, est puni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 du Tribunal fédéral 6B_1009/2014 du 2 avril 2015 consid. 5.1.1).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6B_863/2015 du 15 mars 2016 consid. 1.1 = SJ 2017 I 85 ; 6B_1009/2014 du 2 avril 2015 consid. 5.1.2).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rPr>
          <w:b/>
        </w:rPr>
        <w:t>E. 2.4</w:t>
      </w:r>
    </w:p>
    <w:p>
      <w:r>
        <w:t>En l'espèce, il est établi, par les images de vidéosurveillance et par les déclarations concordantes de l'intimée et de E______, que l'appelant est sorti de sa cellule, forçant le passage et déséquilibrant E______ qui a été contraint de le coucher au sol à l'aide d'une clé d'épaule. Une fois au sol, l'appelant a tenté de se redresser à plusieurs reprises, si bien que l'action de deux gardiens a été nécessaire pour le maintenir. Restée seule quelques instants avec l'appelant, l'intimée n'est visiblement pas parvenue à le maîtriser, son collègue devant revenir rapidement auprès d'elle pour l'aider, sans avoir refermé la porte de la cellule. Les déclarations de l'appelant selon lesquelles il serait resté calme et n'aurait pas bougé lors de l'intervention sont clairement démenties par les images de vidéosurveillance. L'intimée et son collègue ont par ailleurs tous deux précisé qu'il s'était violemment débattu une fois hors de sa cellule. Selon le rapport d'intervention, les surveillants ont dû user une deuxième fois d'un moyen de contrainte pour maîtriser l'appelant, soit une " aile de poulet ", au moment de le transférer en cellule forte, ce qui démontre que ce dernier était loin d'être calme et immobile au moment des faits. L'appelant, en se débattant violemment alors qu'il était au sol, tentant de se redresser à plusieurs reprises, obligeant les gardiens - dont l'un a été blessé durant l'intervention - à se mettre à deux et à user de la force pour tenter de le maîtriser, les contraignant à appeler de multiples renforts, a usé de violence à l'encontre de fonctionnaires. Par son comportement, il a rendu plus difficile pour ces derniers l'accomplissement d'un acte entrant dans leurs fonctions. Il sera ainsi reconnu coupable d'infraction à l'art. 285 CP, l'appel étant rejeté sur ce point.</w:t>
      </w:r>
    </w:p>
    <w:p>
      <w:r>
        <w:rPr>
          <w:b/>
        </w:rPr>
        <w:t>E. 2.5</w:t>
      </w:r>
    </w:p>
    <w:p>
      <w:r>
        <w:t>En ce qui concerne les lésions corporelles simples, le geste qui est reproché à l'appelant (torsion des doigts de l'intimée) n'apparaît pas sur les images de vidéosurveillance. Cela ne signifie toutefois pas qu'il n'a pas eu lieu. En effet, l'intimée a expliqué de manière tout à fait crédible, que sa blessure était survenue au moment où elle avait tiré la main droite de l'appelant de sous son drap avec sa main gauche. Or le champ de vision de la caméra dont sont extraites les images de vidéosurveillance est obstrué par un gardien arrivé en renfort, au moment où la main droite de A______ est enlevée de son emplacement sous le drap pour être placée dans son dos. Les images de vidéosurveillance ne sont ainsi d'aucune utilité s'agissant de cette partie de l'intervention. Les déclarations de l'intimée ont été confirmées par E______ qui a précisé avoir lui-même observé, à ce moment, l'appelant prendre les doigts de la main de C______ et les agripper. Il ressort par ailleurs du rapport d'intervention que l'intimée s'est rendue immédiatement au service médical, puis à la clinique des F______ (GE) à 12h00, soit moins de trente minutes après les faits. Le certificat médical établi le 16 février 2017, établit au surplus que l'intimée a subi des lésions à la main gauche " en forme de torsion de la main ". Le geste qu'elle a décrit - et qui a été confirmé par E______ - est ainsi compatible avec les lésions mentionnées dans le certificat médical. Enfin, comme il l'a déjà été relevé, l'appelant n'est en rien resté immobile tel qu'il l'allègue, ce qui décrédibilise ses affirmations. Au vu de ce qui précède, la CPAR est convaincue que l'appelant a intentionnellement causé les lésions subies par la plaignante à la main gauche. Il sera ainsi reconnu coupable de lésions corporelles simples (art. 123 CP). L'appel sera également rejeté sur ce point, le jugement de première instance étant confirmé.</w:t>
      </w:r>
    </w:p>
    <w:p>
      <w:r>
        <w:rPr>
          <w:b/>
        </w:rPr>
        <w:t>E. 3.1</w:t>
      </w:r>
    </w:p>
    <w:p>
      <w:r>
        <w:t>Les violences ou menaces contre les autorités et les fonctionnaires (art. 285 CP), de même que les lésions corporelles simples (art. 123 CP) sont passibles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3.3.2.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 in LawInside, 31 août 2016, http://www.lawinside.ch/304/ [31.01.17]).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w:t>
      </w:r>
    </w:p>
    <w:p>
      <w:r>
        <w:rPr>
          <w:b/>
        </w:rPr>
        <w:t>E. 3.4</w:t>
      </w:r>
    </w:p>
    <w:p>
      <w:r>
        <w:t>Le nouveau droit des sanctions n'étant pas plus favorable à l'appelant, il n'en sera pas fait application (art. 2 al. 2 CP) .</w:t>
      </w:r>
    </w:p>
    <w:p>
      <w:r>
        <w:rPr>
          <w:b/>
        </w:rPr>
        <w:t>E. 3.5</w:t>
      </w:r>
    </w:p>
    <w:p>
      <w:r>
        <w:t>L'art. 42 al. 1 aCP prévoit que le juge suspend en règle générale l'exécution d'une peine pécuniaire, d'un travail général ou d'une peine privative de liberté de six mois au moins et de deux ans au plus lorsqu'une peine ferme ne paraît pas nécessaire pour détourner l'auteur d'autres crimes ou délits.</w:t>
      </w:r>
    </w:p>
    <w:p>
      <w:r>
        <w:rPr>
          <w:b/>
        </w:rPr>
        <w:t>E. 3.6</w:t>
      </w:r>
    </w:p>
    <w:p>
      <w:r>
        <w:t>L'appelant ne critique pas la peine infligée. Sa faute ne peut être minimisée. Il a usé de violences à l'encontre de deux gardiens de la prison, et blessé l'intimée à la main, cette dernière ayant dû être mise en arrêt de travail pendant plusieurs mois suite à sa blessure. Sa collaboration a été mauvaise, ce dernier perpétuant à nier les faits et prétendant que les gardiens mentaient. Il n'a émis aucun regret et n'a pas présenté d'excuses à l'intimée. Sa prise de conscience est inexistante. Compte tenu de ce qui précède et de ses nombreux antécédents, il se justifie de prononcer une peine privative de liberté à son encontre, seule une peine de cette nature apparaissant suffisamment dissuasive. L'appelant a été condamné le 5 juillet 2017 par la CPAR, à une peine privative de liberté ferme de six mois pour dommages à la propriété (art. 144 CP), ainsi que le 23 mars 2018 par le MP, à une peine privative de liberté ferme de 180 jours pour vol, violences ou menaces à l'encontre des autorités et des fonctionnaires (art. 285 CP) et violation de domicile (art. 186 CP), soit après avoir commis les faits visés par la présente décision. Dans ces circonstances, il y a concours réel rétrospectif, lequel implique de tenir compte des précédentes peines infligées pour fixer la peine complémentaire, les trois peines étant de même nature. L'infraction abstraitement la plus grave est celle de vol, qui, à elle seule, mérite une peine privative de liberté de cinq mois. Cette peine doit être étendue à une année afin de tenir compte des trois autres infractions commises et déjà jugées les 5 juillet 2017 et 23 mars 2018. A cela s'ajoutent encore les deux nouvelles infractions, objet de la présente procédure. Compte tenu de leur effet aggravant et de la faute de l'appelant, il se justifie d'augmenter la peine de six mois encore, soit de trois mois pour chacune de ces infractions. La peine privative de liberté globale est ainsi arrêtée à une année et six mois, desquels il convient de déduire la peine de base pour fixer la peine complémentaire. Compte tenu de ce qui précède, il est justifié que la peine privative de liberté complémentaire soit fixée, dans le cadre de la présente procédure, à six mois, soit 180 jours. Au vu des antécédents de l'appelant, le pronostic est résolument défavorable, ce qui exclut le prononcé du sursis. L'appel sera ainsi rejeté, le jugement de première instance étant confirmé.</w:t>
      </w:r>
    </w:p>
    <w:p>
      <w:r>
        <w:rPr>
          <w:b/>
        </w:rPr>
        <w:t>E. 4</w:t>
      </w:r>
    </w:p>
    <w:p>
      <w:r>
        <w:t>4.1. Aux termes de l'art. 122 CPP, en qualité de partie plaignante, le lésé peut faire valoir des conclusions civiles déduites de l'infraction par adhésion à la procédure pénale. Dans la mesure du possible, elle chiffre ses conclusions civiles dans sa déclaration et les motive par écrit; elle cite les moyens de preuve qu'elle entend invoquer (art. 123 al. 1 CPP). En vertu de l'art. 126 al. 1 let. a CPP, le tribunal statue sur les prétentions civiles présentées lorsqu'il rend un verdict de culpabilité à l'encontre du prévenu.</w:t>
      </w:r>
    </w:p>
    <w:p>
      <w:r>
        <w:rPr>
          <w:b/>
        </w:rPr>
        <w:t>E. 4.2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w:t>
      </w:r>
    </w:p>
    <w:p>
      <w:r>
        <w:rPr>
          <w:b/>
        </w:rPr>
        <w:t>E. 4.3</w:t>
      </w:r>
    </w:p>
    <w:p>
      <w:r>
        <w:t>En l'espèce, l'intimée a souffert de douleurs importantes à la main gauche durant une longue période, devant être mise en arrêt de travail pendant près de trois mois. Ces douleurs ont eu des répercussions non négligeables dans sa vie quotidienne, la gênant pour effectuer les tâches quotidiennes, ainsi que dans ses loisirs. Il se justifie dès lors de donner suite à ses conclusions civiles et de condamner l'appelant à lui verser le montant de CHF 1'000.- avec intérêts à 5% l'an dès le 12 janvier 2017 à titre de tort moral. Le jugement de première instance sera ainsi confirmé sur ce point, l'appel étant rejeté.</w:t>
      </w:r>
    </w:p>
    <w:p>
      <w:r>
        <w:rPr>
          <w:b/>
        </w:rPr>
        <w:t>E. 5</w:t>
      </w:r>
    </w:p>
    <w:p>
      <w:r>
        <w:t>L'appelant, qui succombe, supportera les frais de la procédure envers l'Etat comprenant un émolument de CHF 1'500.- (art. 428 CPP et 14 al. 1 let. e du règlement fixant le tarif des frais en matière pénale du 22 décembre 2010 [RTFMP - E 4 10.03]).</w:t>
      </w:r>
    </w:p>
    <w:p>
      <w:r>
        <w:rPr>
          <w:b/>
        </w:rPr>
        <w:t>E. 6.1</w:t>
      </w:r>
    </w:p>
    <w:p>
      <w:r>
        <w:t>L'art. 433 al. 1 CPP permet à la partie plaignante de demander au prévenu une juste indemnité pour les dépenses obligatoires occasionnées par la procédure lorsqu'elle obtient gain de cause.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w:t>
      </w:r>
    </w:p>
    <w:p>
      <w:r>
        <w:rPr>
          <w:b/>
        </w:rPr>
        <w:t>E. 6.2</w:t>
      </w:r>
    </w:p>
    <w:p>
      <w:r>
        <w:t>L'intimée obtient gain de cause dans la procédure d'appel, le verdict de culpabilité étant confirmé. L'activité déployée par le conseil de l'intimée apparaît en adéquation avec la nature et la difficulté de l'affaire. En conclusion, l'appelant sera condamné à verser à l'intimée une indemnité de CHF 2'611.70, correspondant à six heures d'activité, TVA de 7.7% incluse pour la couverture de ses frais pour la procédure d'appel.</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w:t>
      </w:r>
    </w:p>
    <w:p>
      <w:r>
        <w:rPr>
          <w:b/>
        </w:rPr>
        <w:t>E. 7.2</w:t>
      </w:r>
    </w:p>
    <w:p>
      <w:r>
        <w:t>En l'occurrence, l'état de frais produit par le conseil de l'appelant paraît adéquat et conforme aux dispositions et principes qui précèdent, de sorte qu'il sera admis sans en reprendre le détail. En conclusion, l'indemnité sera arrêtée à CHF 1'550.90 correspondant à six heures d'activité au tarif de CHF 200.-/heure plus la majoration forfaitaire de 20%, TVA au taux de 7.7% (soit CHF 110.90)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