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P/16413/2016 vom 11. Oktober 2019</w:t>
      </w:r>
    </w:p>
    <w:p>
      <w:r>
        <w:t>GE Cour de justice, 2019-10-11, FR</w:t>
      </w:r>
    </w:p>
    <w:p>
      <w:r>
        <w:rPr>
          <w:b/>
        </w:rPr>
        <w:t xml:space="preserve">Quelle: </w:t>
      </w:r>
      <w:r>
        <w:t>https://mcp.opencaselaw.ch/entscheid/ge_gerichte_P_16413_2016</w:t>
      </w:r>
    </w:p>
    <w:p>
      <w:r>
        <w:t>FR: GE_GERICHTE P/16413/2016 du 11 octobre 2019</w:t>
      </w:r>
    </w:p>
    <w:p>
      <w:r>
        <w:t>IT: GE_GERICHTE P/16413/2016 del 11 ottobre 2019</w:t>
      </w:r>
    </w:p>
    <w:p>
      <w:pPr>
        <w:pStyle w:val="Heading2"/>
      </w:pPr>
      <w:r>
        <w:t>Regeste</w:t>
      </w:r>
    </w:p>
    <w:p>
      <w:r>
        <w:t>INFRACTIONS CONTRE LE PATRIMOINE;DOMMAGES À LA PROPRIÉTÉ(DROIT PÉNAL);VIOLATION DE DOMICILE;DISPOSITIONS PÉNALES DE LA LCR;EXPULSION(DROIT PÉNAL) | CP.139.ch2; CP.156.ch1; CP.139.ch1; CP.160.al1; CP.144.al1; CP.186; LCR.95.al1.letB; LCR.96.al2; CP.49.al1; CP.66.letA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139 ch. 1 CP réprime le comportement de celui qui, pour se procurer ou procurer à un tiers un enrichissement illégitime, aura soustrait une chose mobilière appartenant à autrui dans le but de se l'approprier.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(ATF 129 IV 253 consid. 2.1 p. 254).</w:t>
      </w:r>
    </w:p>
    <w:p>
      <w:r>
        <w:rPr>
          <w:b/>
        </w:rPr>
        <w:t>E. 3</w:t>
      </w:r>
    </w:p>
    <w:p>
      <w:r>
        <w:t>Selon l'art. 144 al. 1 CP, se rend coupable de dommage à la propriété celui qui aura endommagé, détruit ou mis hors d'usage une chose appartenant à autrui ou frappée d'un droit d'usage ou d'usufruit au bénéfice d'autrui. 2.</w:t>
      </w:r>
    </w:p>
    <w:p>
      <w:r>
        <w:rPr>
          <w:b/>
        </w:rPr>
        <w:t>E. 3.1</w:t>
      </w:r>
    </w:p>
    <w:p>
      <w:r>
        <w:t>L'art. 156 ch. 1 CP, punit celui qui, dans le dessein de se procurer ou de procurer à un tiers un enrichissement illégitime, aura déterminé une personne à des actes préjudiciables à ses intérêts pécuniaires ou à ceux d'un tiers, en la menaçant d'un dommage sérieux. Pour que cette infraction soit objectivement réalisée, il faut que l'auteur, par un moyen de contrainte, ait déterminé une personne à accomplir un acte portant atteinte à son patrimoine ou à celui d'un tiers (arrêt du Tribunal fédéral 6B_275/2016 du 9 décembre 2016 consid. 4.1). La loi prévoit deux moyens de contrainte : la violence et la menace d'un dommage sérieux. La menace est un moyen de pression psychologique. L'auteur doit faire craindre à la victime un inconvénient, dont l'arrivée paraît dépendre de sa volonté (ATF 122 IV 322 consid. 1a p. 324 ad art. 181 CP).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p. 325 ad art. 181 CP ; arrêt du Tribunal fédéral 6B_275/2016 du 9 décembre 2016 consid. 4.2.1 et les références).</w:t>
      </w:r>
    </w:p>
    <w:p>
      <w:r>
        <w:rPr>
          <w:b/>
        </w:rPr>
        <w:t>E. 3.2</w:t>
      </w:r>
    </w:p>
    <w:p>
      <w:r>
        <w:t>Selon l'art. 22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p. 152 ; arrêt du Tribunal fédéral 6B_1177/2018 du 9 janvier 2019 consid. 2.1). 3. 3. En l'espèce, il est établi par les déclarations concordantes de G_____ et H_____, ainsi que de T_____, que l'appelant a réclamé la somme de CHF 10'000.- à G_____, le menaçant de s'en prendre à son intégrité physique s'il ne s'exécutait pas. Alors qu'il était encore en prison, il a envoyé son amie S_____ avertir G_____ de sa prochaine sortie. Il a ensuite appelé à de très nombreuses reprises son ancien comparse, insistant pour le rencontrer. La rencontre à la station-service n'ayant pas suffi à convaincre G_____ de lui verser la somme requise, il s'est ensuite rendu à plusieurs reprises à son domicile, parlant à son père, et attendant H_____ et G_____. Dans ce contexte de harcèlement, et au vu des menaces explicites formulées par l'appelant, il est tout à fait vraisemblable que G_____ ait craint que l'appelant s'en prenne à son intégrité physique et celle de sa famille, s'il ne versait pas la somme demandée. Cette crainte a d'ailleurs été confirmée par H_____ et T_____, qui ont précisé que G_____ était prostré et avait simplement acquiescé lors de la rencontre à la station-service, qu'il semblait avoir peur et que l'appelant se trouvait très proche physiquement et avait un ton agressif. L'appelant conteste avoir souhaité obtenir cette somme pour son compte, prétendant qu'il l'aurait réclamée à G_____ dans le but de rembourser W_____ pour le faux braquage commis en 2014. Ces allégations ne sont cependant pas crédibles. En effet, ce dernier avait demandé à S_____ de prendre contact avec G_____ avant sa sortie de prison, soit avant d'avoir reçu la lettre de W_____ réclamant un remboursement. L'appelant a au surplus commis, par la suite, plusieurs cambriolages qui lui ont permis d'accumuler plusieurs dizaines de milliers de francs. Il n'a cependant jamais proposé à W_____ de rembourser sa dette ou partie de celle-ci. Il n'est dès lors pas vraisemblable que l'appelant ait voulu "aider" W_____ en s'occupant pour son compte du recouvrement auprès de G_____. La CPAR relèvera enfin que l'appelant n'avait aucune créance à l'encontre de G_____, puisqu'ils avaient tous les deux été condamnés solidairement à rembourser W_____. Ainsi, G_____ n'avait pas d'intérêt propre à verser cette somme à A_____. Au vu de ce qui précède, en menaçant G_____ et sa famille d'un dommage sérieux, l'appelant a tenté d'obtenir de la part de celui-ci le versement de la somme de CHF 10'000.-, ce qui aurait été préjudiciable à ses intérêts. Les éléments constitutifs de l'infraction étant remplis, il sera reconnu coupable de tentative d'extorsion et chantage. 4. 4.1. L'auteur des infractions objet de la présente procédure encourt les peines suivantes: ·         Pour le vol par métier (art. 139 al. 2 CP), une peine privative de liberté de dix ans au plus ou une peine pécuniaire de 90 jours-amende au moins ; ·         Pour l'extorsion et le chantage (art. 156 CP), le vol (art. 139 al. 1 CP) et le recel (art. 160 al. 1 CP), une peine privative de liberté de cinq ans au plus ou une peine pécuniaire ; ·         Pour les dommages à la propriété (art. 144 al. 1 CP), la violation de domicile (art. 186 CP), la conduite sans autorisation (art. 95 al. 1 let. b LCR) et la conduite sans permis de circulation, autorisation ou assurance responsabilité civile (art. 96 al. 2 LCR), une peine privative de liberté de trois ans au plus ou une peine pécuniaire ; ·         Pour la conduite sans permis de circulation, autorisation ou assurance responsabilité civile (art. 96 al. 1 let. a), la conduite d'un véhicule en état défectueux (art. 93 al. 2 let. a LCR), et la violation simple des règles de la circulation (art. 90 al. 1 LCR), une amende.</w:t>
      </w:r>
    </w:p>
    <w:p>
      <w:r>
        <w:rPr>
          <w:b/>
        </w:rPr>
        <w:t>E. 4</w:t>
      </w:r>
    </w:p>
    <w:p>
      <w:r>
        <w:t>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2.</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rPr>
          <w:b/>
        </w:rPr>
        <w:t>E. 4.4</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w:t>
      </w:r>
    </w:p>
    <w:p>
      <w:r>
        <w:rPr>
          <w:b/>
        </w:rPr>
        <w:t>E. 4.5</w:t>
      </w:r>
    </w:p>
    <w:p>
      <w:r>
        <w:t>Dans le cas concret, des infractions ont été commises avant et après l'entrée en vigueur du nouveau droit des sanctions (1 er janvier 2018). En l'occurrence, il sera fait application du nouveau droit des sanctions, celui-ci apparaissant in concreto plus favorable à l'appelant, en tant qu'il permet la fixation d'une peine d'ensemble en cas de révocation d'un sursis portant sur une peine de même genre.</w:t>
      </w:r>
    </w:p>
    <w:p>
      <w:r>
        <w:rPr>
          <w:b/>
        </w:rPr>
        <w:t>E. 4.6</w:t>
      </w:r>
    </w:p>
    <w:p>
      <w:r>
        <w:t>En l'espèce, la faute de l'appelant est lourde. Il s'en est pris à plusieurs reprises au patrimoine d'autrui, usant de la menace à l'encontre des frères G_____/H_____ pour parvenir à ses fins. Il a agi de façon méthodique et professionnelle lors de ses différents cambriolages, s'emparant d'un butin important. La période pénale est conséquente, l'appelant ayant agi à de multiples reprises entre 2016 et 2018, la plupart des infractions ayant par ailleurs été commises durant le délai d'épreuve du sursis octroyé le 22 février 2012, pendant sa libération conditionnelle et pour une partie alors qu'il était soumis à des mesures de substitution. Son mobile relève de l'appât du gain facile. Sa collaboration a été mauvaise. Il a varié à de nombreuses reprises dans ses déclarations, et a persisté à contester avoir commis certaines infractions, admettant uniquement les faits établis dès le début de l'instruction par des preuves accablantes. Il n'a exprimé aucun regret au cours de la procédure et ne fait montre d'aucune prise de conscience. Ayant déjà été condamné à six reprises, il est resté jusqu'ici imperméable à l'effet dissuasif des précédentes peines prononcées à son encontre. Il n'a en particulier jamais su saisir les différentes chances (peine avec sursis, libération conditionnelle) qui lui étaient offertes. Compte tenu de ce qui précède et de ses nombreux antécédents, il se justifie de prononcer une peine privative de liberté pour l'ensemble des infractions qui lui sont reprochées, excepté pour les infractions aux art. 90 al. 1, 93 al. 2 let. a et 96 al. 1 let. a LCR, passibles d'une amende. Dans la mesure où l'infraction de vol par métier est abstraitement la plus grave, la CPAR retiendra qu'une peine privative de liberté globale de deux ans et six mois est appropriée et sanctionne adéquatement l'appelant pour les cambriolages et tentatives de cambriolages (soit les infractions de vol par métier, violation de domicile et dommages à la propriété) commis au préjudice de E_____ SA, J_____ SA [et les bijouteries] I_____ et M_____, étant précisé que ces infractions sont étroitement liées et qu'elles ne peuvent par conséquent pas être séparées et jugées pour elles seules. Cette peine sera étendue à trois ans, compte tenu de la tentative d'extorsion au préjudice des frères G_____/H_____, à trois ans et deux mois pour le vol du vélo de F_____, puis trois ans et quatre mois, tenant compte de l'infraction de recel dénoncée par D_____. La peine sera enfin étendue à trois ans et cinq mois, puis trois ans et six mois pour les infractions aux art. 95 al. 1 let. b et 96 al. 2 LCR, l'ensemble de ces infractions entrant en concours. Les révocations du sursis à la part de la peine de 21 mois octroyé en 2012 ainsi que de la libération conditionnelle accordée en 2016 (solde de peine de 10 mois) seront confirmées, celles-ci n'étant à juste titre pas contestées en appel. La peine privative de liberté d'ensemble de cinq ans et six mois fixée par le tribunal de première instance, adéquate compte tenu de la faute de l'appelant, sera ainsi confirmée. La détention avant jugement de 505 jours sera déduite de la peine (art. 51 CP). Il n'en ira toutefois pas de même s'agissant des mesures de substitution prononcées en 2016. En effet, ces mesures, qui n'étaient pas incisives, n'ont en aucune manière entravé l'appelant dans sa liberté - ou à tout le moins pas de manière comparable à une privation de liberté -, ce dernier devant se borner à résider chez ses parents, à chercher un travail et à s'abstenir de prendre contact avec certaines personnes. L'amende de CHF 300.- (dont la peine privative de liberté de substitution est fixée à trois jours) pour les infractions aux art. 90 al. 1, 93 al. 2 let. a et. 96 al. 1 let. a LCR sera confirmée, étant adéquate et conforme aux dispositions légales applicables (art. 34 et 106 CP) et n'étant par ailleurs pas contestée en appel. L'appel sera ainsi rejeté, le jugement de première instance étant intégralement confirmé.</w:t>
      </w:r>
    </w:p>
    <w:p>
      <w:r>
        <w:rPr>
          <w:b/>
        </w:rPr>
        <w:t>E. 5</w:t>
      </w:r>
    </w:p>
    <w:p>
      <w:r>
        <w:t>septembre 2019, consid. 2.4.4). En l'espèce, l'expulsion avait été prononcée contre un ressortissant kosovar, alors même que ce dernier avait un conjoint et des enfants intégrés en Suisse, le Tribunal fédéral précisant par ailleurs que le Kosovo était dorénavant un pays sûr (consid. 2.4.5).</w:t>
      </w:r>
    </w:p>
    <w:p>
      <w:r>
        <w:rPr>
          <w:b/>
        </w:rPr>
        <w:t>E. 5.1</w:t>
      </w:r>
    </w:p>
    <w:p>
      <w:r>
        <w:t>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w:t>
      </w:r>
    </w:p>
    <w:p>
      <w:r>
        <w:rPr>
          <w:b/>
        </w:rPr>
        <w:t>E. 5.2</w:t>
      </w:r>
    </w:p>
    <w:p>
      <w:r>
        <w:t>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w:t>
      </w:r>
    </w:p>
    <w:p>
      <w:r>
        <w:rPr>
          <w:b/>
        </w:rPr>
        <w:t>E. 5.3</w:t>
      </w:r>
    </w:p>
    <w:p>
      <w:r>
        <w:t>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5.4</w:t>
      </w:r>
    </w:p>
    <w:p>
      <w:r>
        <w:t>Selon la jurisprudence récente du Tribunal fédéral, lorsqu'une personne a été condamnée à une peine privative de liberté d'au moins deux ans, à moins de circonstances exceptionnelles, l'intérêt public à l'expulsion l'emporte sur l'intérêt privé de l'auteur à rester en Suisse (arrêt du Tribunal fédéral 6B_34/2019 du</w:t>
      </w:r>
    </w:p>
    <w:p>
      <w:r>
        <w:rPr>
          <w:b/>
        </w:rPr>
        <w:t>E. 5.5</w:t>
      </w:r>
    </w:p>
    <w:p>
      <w:r>
        <w:t>En l'espèce, l'appelant a commis plusieurs infractions après l'entrée en vigueur de l'art. 66a CP, qui entraînent l'expulsion obligatoire, soit notamment plusieurs cambriolages ou tentatives de cambriolage (soit le vol en lien avec une violation de domicile, au sens de l'art. 66a al. 1 let. d CP) au préjudice de J_____ SA, E_____ SA, I_____ et M_____, infractions d'une gravité certaine, eu égard à leur nombre, et au butin emporté par l'appelant. La durée de vie de l'appelant en Suisse n'est pas négligeable, ce dernier étant arrivé en l'an 2000, alors qu'il était encore mineur. Reste qu'il est aujourd'hui majeur, n'est pas marié et n'a pas d'enfant. Ses parents se trouvent certes en Suisse, mais n'entrent pas dans la définition de la famille nucléaire au sens de la jurisprudence. Il a peu d'amis et ne semble pas avoir particulièrement d'attache avec Genève, hormis une participation qu'il dit avoir eue - sans toutefois que rien ne le démontre - à une association en 2014, soit il y a plus de cinq ans. Il a passé une grande partie de sa vie de jeune adulte en prison et son permis B n'a pas été renouvelé depuis 2012. L'appelant est issu de l'ethnie des AH_____ au Kosovo, ethnie qui rencontrerait à l'intérieur du pays, selon son père, des difficultés avec d'autres communautés (notamment albanophones), le chômage étant important et les relations difficiles. La CPAR relève toutefois que les chances de réinsertion de l'appelant en Suisse ne sont pas meilleures qu'au Kosovo, celui-ci n'étant jamais parvenu à terminer une formation et n'ayant eu qu'un seul emploi stable sur une période très courte. L'appelant parle par ailleurs le serbo-croate, et possède encore de la famille au Kosovo (ses deux grand-mères et un oncle), ainsi qu'en Serbie et en Autriche, où il est libre d'aller s'installer. Il est par ailleurs établi qu'il a gardé des liens avec son pays d'origine, s'y étant rendu à plusieurs reprises, ainsi qu'en Serbie, afin de rendre visite à sa famille. Au vu de ce qui précède, force est de constater que l'expulsion de l'appelant ne le placerait pas dans une situation personnelle particulièrement grave au sens de la jurisprudence. En tout état de cause, ce dernier a été condamné à plus de deux ans de peine privative de liberté et ne bénéficie d'aucune circonstance exceptionnelle, de sorte que son intérêt à rester en Suisse ne prime pas l'intérêt public à l'expulser. Enfin, la mesure d'expulsion n'a été ordonnée que pour cinq ans, soit le minimum prévu par la loi. Aucune des conditions de l'art. 66a al. 2 CP n'étant remplie, l'expulsion prononcée par le tribunal de première instance doit être confirmée, et l'appel rejeté.</w:t>
      </w:r>
    </w:p>
    <w:p>
      <w:r>
        <w:rPr>
          <w:b/>
        </w:rPr>
        <w:t>E. 6</w:t>
      </w:r>
    </w:p>
    <w:p>
      <w:r>
        <w:t>L'appelant ayant acquiescé aux différentes conclusions civiles et l'appel ne portant pas sur ce point, le jugement de première instance sera confirmé s'agissant des sommes que l'appelant est condamné à verser à J_____ SA, C_____ &amp; CIE SA et [la compagnie d'assurances] L_____ SA.</w:t>
      </w:r>
    </w:p>
    <w:p>
      <w:r>
        <w:rPr>
          <w:b/>
        </w:rPr>
        <w:t>E. 7</w:t>
      </w:r>
    </w:p>
    <w:p>
      <w:r>
        <w:t>L'appelant ne contestant pas la confiscation et la destruction, respectivement la dévolution à l'Etat ou la restitution des différents objets séquestrés au cours de la procédure, le jugement de première instance sera également confirmé sur ce point.</w:t>
      </w:r>
    </w:p>
    <w:p>
      <w:r>
        <w:rPr>
          <w:b/>
        </w:rPr>
        <w:t>E. 8</w:t>
      </w:r>
    </w:p>
    <w:p>
      <w:r>
        <w:t>L'appelant, qui succombe, supportera les frais de la procédure d'appel, comprenant un émolument de CHF 1'500.- (art. 428 CPP et 14 al. 1 let. e du règlement fixant le tarif des frais en matière pénale du 22 décembre 2010 [RTFMP - E 4 10.03]).</w:t>
      </w:r>
    </w:p>
    <w:p>
      <w:r>
        <w:rPr>
          <w:b/>
        </w:rPr>
        <w:t>E. 9</w:t>
      </w:r>
    </w:p>
    <w:p>
      <w:r>
        <w:t>9.1.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200.- pour les chefs d'étude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Dans le cas des prévenus en détention provisoire, une visite par mois jusqu'au prononcé du jugement ou de l'arrêt cantonal est admise ( AARP/235/2015 du 18 mai 2015 ; AARP/480/2014 du 29 octobre 2014), d'une durée d'une heure et 30 minutes comprenant le temps de déplacement ( AARP/181/2017 du 30 mai 2017 consid. 8.2.2.2 et 8.3.5).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est arrêtée à CHF 100.- pour les chefs d'étude, dite rémunération étant allouée d'office par la juridiction d'appel pour les débats devant elle.</w:t>
      </w:r>
    </w:p>
    <w:p>
      <w:r>
        <w:rPr>
          <w:b/>
        </w:rPr>
        <w:t>E. 9.2</w:t>
      </w:r>
    </w:p>
    <w:p>
      <w:r>
        <w:t>En l'occurrence, sept entretiens avec l'appelant seront admis, soit un par mois, comptabilisés chacun à 1h30 déplacement compris. Le temps consacré à la préparation de l'audience sera réduit à cinq heures, qui sont largement suffisantes eu égard à la nature de la cause, le conseil de l'appelant étant déjà mandaté en première instance, et connaissant ainsi parfaitement le dossier. Il sera encore tenu compte de la consultation du dossier d'une heure, de la durée de l'audience de quatre heures et 35 minutes, de la vacation y relative (CHF 100.-), ainsi que du forfait de 10% (l'activité du mandataire dépassant les 30 heures depuis l'ouverture de la procédure) pour les différents courriers et téléphones. En conséquence, le mandataire de l'appelant sera indemnisé en CHF 5'103.15.-, correspondant à 21 heures et 5 minutes d'activité au tarif de CHF 200.-/heure (CHF 4'216.65) plus la majoration forfaitaire de 10% (CHF 421.65), ainsi que la vacation de CHF 100.-, et la TVA de 7.7% (CHF 364.85).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