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P/16392/2015 vom 18. März 2020</w:t>
      </w:r>
    </w:p>
    <w:p>
      <w:r>
        <w:t>GE Cour de justice, 2020-03-18, FR</w:t>
      </w:r>
    </w:p>
    <w:p>
      <w:r>
        <w:rPr>
          <w:b/>
        </w:rPr>
        <w:t xml:space="preserve">Quelle: </w:t>
      </w:r>
      <w:r>
        <w:t>https://mcp.opencaselaw.ch/entscheid/ge_gerichte_P_16392_2015</w:t>
      </w:r>
    </w:p>
    <w:p>
      <w:r>
        <w:t>FR: GE_GERICHTE P/16392/2015 du 18 mars 2020</w:t>
      </w:r>
    </w:p>
    <w:p>
      <w:r>
        <w:t>IT: GE_GERICHTE P/16392/2015 del 18 marzo 2020</w:t>
      </w:r>
    </w:p>
    <w:p>
      <w:pPr>
        <w:pStyle w:val="Heading2"/>
      </w:pPr>
      <w:r>
        <w:t>Regeste</w:t>
      </w:r>
    </w:p>
    <w:p>
      <w:r>
        <w:t>SOUPÇON;RISQUE DE FUITE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consacre pas une ligne aux charges recueillies contre lui. Selon la jurisprudence, des soupçons, même encore peu précis, peuvent être suffisants dans les premiers temps de l'enquête (ATF 143 IV 316 consid. 3.2 p. 318). À cette aune, la motivation du premier juge peut être adoptée telle quelle.</w:t>
      </w:r>
    </w:p>
    <w:p>
      <w:r>
        <w:rPr>
          <w:b/>
        </w:rPr>
        <w:t>E. 3</w:t>
      </w:r>
    </w:p>
    <w:p>
      <w:r>
        <w:t>Le recourant conteste tout risque de fuite, au motif que la présence de sa soeur à Genève et ses rendez-vous médicaux périodiques dans cette ville représentent des attaches suffisantes.</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supra ). L'état de santé du recourant n'était pas incompatible avec son voyage en Suisse; la prison est équipée d'un service médical; et la crainte d'une infection n'implique pas que le recourant serait privé de soins, si nécessaire.</w:t>
      </w:r>
    </w:p>
    <w:p>
      <w:r>
        <w:rPr>
          <w:b/>
        </w:rPr>
        <w:t>E. 4</w:t>
      </w:r>
    </w:p>
    <w:p>
      <w:r>
        <w:t>Le risque de fuite étant réalisé, il ne sera pas procédé à l'examen du risque de collusion, qualifié de ténu par le premier juge, car l'autorité de recours peut s'en dispenser lorsqu'un des risques prévus à l'art. 221 al. 1 CP est réalisé (arrêt du Tribunal fédéral 1B_322/2019 du 17 juillet 2019 consid. 3.3 et la jurisprudence citée).</w:t>
      </w:r>
    </w:p>
    <w:p>
      <w:r>
        <w:rPr>
          <w:b/>
        </w:rPr>
        <w:t>E. 5</w:t>
      </w:r>
    </w:p>
    <w:p>
      <w:r>
        <w:t>Sous l'angle du principe de la proportionnalité, on ne saurait tenir pour excessive la durée d'un mois, pour les motifs déjà exposés s'agissant du risque de fuite (consid.</w:t>
      </w:r>
    </w:p>
    <w:p>
      <w:r>
        <w:rPr>
          <w:b/>
        </w:rPr>
        <w:t>E. 6</w:t>
      </w:r>
    </w:p>
    <w:p>
      <w:r>
        <w:t>Le recours s'avère infondé.</w:t>
      </w:r>
    </w:p>
    <w:p>
      <w:r>
        <w:rPr>
          <w:b/>
        </w:rPr>
        <w:t>E. 7</w:t>
      </w:r>
    </w:p>
    <w:p>
      <w:r>
        <w:t>Le recourant, qui succombe dans les conclusions de son recours,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