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P/16338/2017 vom 10. Februar 2022</w:t>
      </w:r>
    </w:p>
    <w:p>
      <w:r>
        <w:t>GE Cour de justice, 2022-02-10, FR</w:t>
      </w:r>
    </w:p>
    <w:p>
      <w:r>
        <w:rPr>
          <w:b/>
        </w:rPr>
        <w:t xml:space="preserve">Quelle: </w:t>
      </w:r>
      <w:r>
        <w:t>https://mcp.opencaselaw.ch/entscheid/ge_gerichte_P_16338_2017</w:t>
      </w:r>
    </w:p>
    <w:p>
      <w:r>
        <w:t>FR: GE_GERICHTE P/16338/2017 du 10 février 2022</w:t>
      </w:r>
    </w:p>
    <w:p>
      <w:r>
        <w:t>IT: GE_GERICHTE P/16338/2017 del 10 febbraio 2022</w:t>
      </w:r>
    </w:p>
    <w:p>
      <w:pPr>
        <w:pStyle w:val="Heading2"/>
      </w:pPr>
      <w:r>
        <w:t>Regeste</w:t>
      </w:r>
    </w:p>
    <w:p>
      <w:r>
        <w:t>CLASSEMENT DE LA PROCÉDURE;INDEMNITÉ(EN GÉNÉRAL);TORT MORAL | CPP.429</w:t>
      </w:r>
    </w:p>
    <w:p>
      <w:pPr>
        <w:pStyle w:val="Heading2"/>
      </w:pPr>
      <w:r>
        <w:t>Erwägungen</w:t>
      </w:r>
    </w:p>
    <w:p>
      <w:r>
        <w:rPr>
          <w:b/>
        </w:rPr>
        <w:t>E. 1</w:t>
      </w:r>
    </w:p>
    <w:p>
      <w:r>
        <w:t>Le recours est recevable pour avoir été déposé selon la forme et dans le délai prescrits (art. 90 al. 2, 385 al. 1 et 396 al. 1 CPP), concerner des points d'une ordonnance de classement sujets à recours auprès de la Chambre de céans (art. 322 al. 2 et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conteste l'absence d'indemnisation de l'activité déployée par son avocat avant sa nomination d'office.</w:t>
      </w:r>
    </w:p>
    <w:p>
      <w:r>
        <w:rPr>
          <w:b/>
        </w:rPr>
        <w:t>E. 2.1</w:t>
      </w:r>
    </w:p>
    <w:p>
      <w:r>
        <w:t>Si l'État supporte les frais de la procédure pénale, le prévenu a en principe droit à une indemnité selon l'art. 429 CPP (ATF 144 IV 207 consid. 1.8.2 p. 211). Selon l'al. 1 let. a de cette disposition, le prévenu au bénéfice d'une ordonnance de classement a droit à une indemnité pour les dépenses occasionnées par l'exercice raisonnable de ses droits de procédure. L'indemnité concerne les dépenses du prévenu pour un avocat de choix (ATF 138 IV 205 consid. 1). L'art. 429 al. 2 CPP prévoit que l'autorité pénale examine d'office les prétentions du prévenu. Ignorant les opérations effectuées par l'avocat, elle sera toutefois souvent dans l'impossibilité de fixer le montant de l'indemnité. Elle devra donc enjoindre le prévenu de chiffrer et justifier ses prétentions (art. 429 al. 2 ème phrase CPP).</w:t>
      </w:r>
    </w:p>
    <w:p>
      <w:r>
        <w:rPr>
          <w:b/>
        </w:rPr>
        <w:t>E. 2.2</w:t>
      </w:r>
    </w:p>
    <w:p>
      <w:r>
        <w:t>Pour prétendre à cette indemnité, encore faut-il que l'assistance d'un avocat ait été nécessaire, compte tenu de la complexité de l'affaire en fait ou en droit, et que le volume de travail de l'avocat était ainsi justifié (Message relatif à l'unification du droit de procédure pénale (CPP) du 21 décembre 2005, FF 2006 1309). Une partie de la doctrine prône qu'aussitôt qu'une procédure touchant à un crime, à un délit ou à une contravention n'est pas classée suite à l'audition du prévenu, celui-ci a droit à l'assistance d'un avocat (M. NIGGLI / M. HEER / H. WIPRÄCHTIGER (éds), Strafprozessordnung - Jugendstrafprozessordnung , Basler Kommentar StPO/JStPO, 2e éd., Bâle 2014, n. 14 et 14a ad art. 429). Dans le cadre de l'examen du caractère raisonnable du recours à un avocat, le Tribunal fédéral estime qu'il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p. 203 s. ; arrêt du Tribunal fédéral 6B_387/2013 du 8 juillet 2013 consid. 2.1 non publié aux ATF 139 IV 241 ).</w:t>
      </w:r>
    </w:p>
    <w:p>
      <w:r>
        <w:rPr>
          <w:b/>
        </w:rPr>
        <w:t>E. 2.3</w:t>
      </w:r>
    </w:p>
    <w:p>
      <w:r>
        <w:t>En l'espèce, il résulte du dossier que, le 7 mai 2018, soit au début de l'activité de son conseil, la recourante a sollicité d'être mise au bénéfice d'une défense d'office. Cette requête a toutefois été rejetée par ordonnance du Ministère public du 11 juin 2018, au motif que la recourante disposait des moyens nécessaires pour s'acquitter des honoraires de son avocate. Le 14 août 2019, invoquant une modification de sa situation financière, elle a réitéré sa demande, à laquelle l'autorité précédente a fait droit avec effet au jour du dépôt de cette seconde requête. Malgré le fait que la procédure ait été classée et les frais aient été laissés à la charge de l'État, le Ministère public, tant dans sa décision querellée que dans ses observations, ne s'est pas prononcé sur l'indemnisation pour les dépenses occasionnées par l'exercice raisonnable des droits de procédure de la prévenue avant l'octroi de l'assistance judiciaire, et ce bien qu'une demande, chiffrée et motivée, lui a été adressée en ce sens. Une telle omission du Ministère public procède d'un déni de justice formel ( ACPR/96/2021 du 12 février 2021 et ACPR/307/2021 du 10 mai 2021), de sorte que le recours doit être admis sur ce point. Afin de préserver le double degré de juridiction, la cause sera par conséquent renvoyée au Ministère public afin qu'il statue sur l'indemnisation réclamée au sens de l'art. 429 al. 1 let. a CPP.</w:t>
      </w:r>
    </w:p>
    <w:p>
      <w:r>
        <w:rPr>
          <w:b/>
        </w:rPr>
        <w:t>E. 3</w:t>
      </w:r>
    </w:p>
    <w:p>
      <w:r>
        <w:t>La recourante se plaint du montant qui lui a été alloué à titre de tort moral, estimant que le Ministère public aurait dû fixer celui-ci à CHF 3'000.- au lieu de CHF 400.-.</w:t>
      </w:r>
    </w:p>
    <w:p>
      <w:r>
        <w:rPr>
          <w:b/>
        </w:rPr>
        <w:t>E. 3.1</w:t>
      </w:r>
    </w:p>
    <w:p>
      <w:r>
        <w:t>À teneur de l'art. 429 al. 1 let. c CPP, le prévenu a notamment droit, s'il bénéficie d'une ordonnance de classement ou d'un acquittement total ou partiel, à une réparation du tort moral subi en raison d'une atteinte particulièrement grave à sa personnalité, notamment en cas de privation de liberté. Si, du fait de la procédure, le prévenu a subi une atteinte particulièrement grave à ses intérêts personnels au sens des art. 28 al. 3 CC ou 49 CO, il aura droit à la réparation de son tort moral. L'intensité de l'atteinte à la personnalité doit être analogue à celle requise dans le contexte de l'art. 49 CO (arrêt du Tribunal fédéral 6B_478/2016 du 8 juin 2017, consid. 3.1; arrêt du Tribunal fédéral 6B_928/2014 , n. p. aux ATF 142 IV 163 consid. 5). La gravité objective de l'atteinte doit être ressentie par le prévenu comme une souffrance morale. Il incombe à celui-ci de faire état des circonstances qui font qu'il a ressenti l'atteinte comme étant subjectivement grave (ATF 120 II 97 consid. 2b p. 99, plus récemment arrêt 6B_928/2014 précité consid. 5.1). La preuve de l'existence du dommage, son ampleur et sa relation de causalité adéquate avec la poursuite pénale introduite à tort incombent au requérant, qui doit fonder sa requête sur des faits précis et documenter ses prétentions (arrêt du Tribunal fédéral 6B_595/2007 du 11 mars 2008, consid. 2.2).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 p. 341 ss; arrêt 6B_928/2014 précité consid. 5.1 et les références citées).</w:t>
      </w:r>
    </w:p>
    <w:p>
      <w:r>
        <w:rPr>
          <w:b/>
        </w:rPr>
        <w:t>E. 3.2</w:t>
      </w:r>
    </w:p>
    <w:p>
      <w:r>
        <w:t>En l'espèce, si la recourante a indubitablement fait l'objet de graves accusations, elle n'établit pas que celles-ci auraient atteint une intensité particulière. Elle n'a, en effet, ni allégué ni a fortiori démontré avoir ressenti des souffrances physiques ou psychiques, ni avoir été affectée dans sa santé d'une autre manière. Elle n'a produit aucune pièce à l'appui de ses allégations, tel qu'un certificat médical attestant de telles répercussions. De même, une atteinte à sa réputation allant au-delà des désagréments liés à toute procédure pénale ne paraît pas réalisée. Concernant la perquisition de son logement, la recourante se limite à faire état du fait qu'elle aurait été menée aux yeux de ses voisins. Outre le fait que cette assertion n'est nullement démontrée, cette mesure d'investigation et son déroulement constituaient, dans la présente procédure, un acte usuel et non invasif, de sorte qu'il n'a pu occasionner aucune atteinte grave à la personnalité de la recourante. L'on ne voit pas non plus en quoi les ordres de dépôt délivrés par le Ministère public et l'audition de l'amie de la recourante auraient pu lui causer une quelconque atteinte à sa personnalité et a fortiori une atteinte grave. La recourante ne le soutient du reste pas. S'agissant des conséquences professionnelles et familiales invoquées, la recourante ne les démontre pas, étant relevé qu'à teneur de ses déclarations devant le Ministère public, elle a au contraire poursuivi son activité d'auxiliaire de vie durant la procédure. Enfin, la durée de l'instruction – qui n'apparaît pas déraisonnable eu égard à la nature des infractions reprochées et aux actes diligentés – n'est pas de nature à occasionner à la recourante une grave atteinte à sa personnalité. L'indemnité pour la détention provisoire était ainsi l'unique prétention justifiée à titre de réparation du tort moral, à l'instar de ce qu'a considéré le Ministère public. Partant, ce grief sera rejeté et l'ordonnance querellée confirmée sur ce point.</w:t>
      </w:r>
    </w:p>
    <w:p>
      <w:r>
        <w:rPr>
          <w:b/>
        </w:rPr>
        <w:t>E. 4</w:t>
      </w:r>
    </w:p>
    <w:p>
      <w:r>
        <w:t>Partiellement fondé, le recours sera admis et la cause renvoyée au Ministère public pour qu'il statue sur l'indemnisation fondée sur l'art. 429 al. 1 let. a CPP.</w:t>
      </w:r>
    </w:p>
    <w:p>
      <w:r>
        <w:rPr>
          <w:b/>
        </w:rPr>
        <w:t>E. 5</w:t>
      </w:r>
    </w:p>
    <w:p>
      <w:r>
        <w:t>L'admission du recours ne donne pas lieu à la perception de frais (art. 428 al. 1 CPP).</w:t>
      </w:r>
    </w:p>
    <w:p>
      <w:r>
        <w:rPr>
          <w:b/>
        </w:rPr>
        <w:t>E. 6.1</w:t>
      </w:r>
    </w:p>
    <w:p>
      <w:r>
        <w:t>À teneur de l'art. 135 al. 1 CPP, le défenseur d'office est indemnisé conformément au tarif des avocats de la Confédération ou du canton du for du procès. À Genève, le tarif des avocats est édicté à l'art. 16 RAJ;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6.2</w:t>
      </w:r>
    </w:p>
    <w:p>
      <w:r>
        <w:t>La recourante n'a pas produit le relevé d'activité de son défenseur d'office en instance de recours. Compte tenu de l'admission partielle de ses conclusions, une indemnité fixée ex aequo et bono à CHF 430.80, TVA à 7.7% incluse, apparaît satisfactoire (art.16 al. 1 let. b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