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P/16335/2009 vom 21. Mai 2016</w:t>
      </w:r>
    </w:p>
    <w:p>
      <w:r>
        <w:t>GE Cour de justice, 2016-05-21, FR</w:t>
      </w:r>
    </w:p>
    <w:p>
      <w:r>
        <w:rPr>
          <w:b/>
        </w:rPr>
        <w:t xml:space="preserve">Quelle: </w:t>
      </w:r>
      <w:r>
        <w:t>https://mcp.opencaselaw.ch/entscheid/ge_gerichte_P_16335_2009</w:t>
      </w:r>
    </w:p>
    <w:p>
      <w:r>
        <w:t>FR: GE_GERICHTE P/16335/2009 du 21 mai 2016</w:t>
      </w:r>
    </w:p>
    <w:p>
      <w:r>
        <w:t>IT: GE_GERICHTE P/16335/2009 del 21 maggio 2016</w:t>
      </w:r>
    </w:p>
    <w:p>
      <w:pPr>
        <w:pStyle w:val="Heading2"/>
      </w:pPr>
      <w:r>
        <w:t>Regeste</w:t>
      </w:r>
    </w:p>
    <w:p>
      <w:r>
        <w:t>IN DUBIO PRO REO ; PRÉSOMPTION D'INNOCENCE ; SÉQUESTRE(MESURE PROVISIONNELLE) ; FRAIS JUDICIAIRES ; ESCROQUERIE ; FAUX INTELLECTUEL DANS LES TITRES ; FAUX MATÉRIEL DANS LES TITRES ; USAGE DE FAUX(DROIT PÉNAL) ; GESTION DÉLOYALE | CP158.1; CP251.1; CP146; CP22.1; CP47; CPP268.1.a; CPP433.1; CPP429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Sur le plan objectif, l'infraction de gestion déloyale au sens de l'art. 158 ch. 1 CP suppose la réunion de quatre éléments, à savoir un devoir de gestion ou de sauvegarde, la violation de ce devoir, un dommage et l'intention. Seul peut avoir une position de gérant celui qui dispose d'une indépendance suffisante et qui jouit d'un pouvoir de disposition autonome sur les biens qui lui sont remis (ATF 129 IV 124 consid. 3.1 ; 123 IV 17 consid. 3b ; 120 IV 190 consid. 2b).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 120 IV 190 consid. 2b ; arrêt du Tribunal fédéral 6B_164/2010 du 1 er juin 2010 consid. 2.1.1).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105 IV 307 consid. 3).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du Tribunal fédéral 6B_845/2014 du 16 mars 2015 consid. 3.2, 6B_223/2010 du 13 janvier 2011 consid. 3.3.2 et 6B_446/2010 du 14 janvier 2010 consid. 8.4.1). 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 121 IV 104 consid. 2c ; arrêt du Tribunal fédéral 6B_845/2014 du 16 mars 2015 consid. 3.3). Sur le plan subjectif, l'infraction est intentionnelle. L'intention doit porter sur tous les éléments constitutifs (ATF 129 IV 124 consid. 3.1). Le dol éventuel suffit, mais il doit être caractérisé vu l'imprécision des éléments constitutifs objectifs de cette infraction (ATF 123 IV 17 consid. 3e ; 120 IV 190 consid. 2b).</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(ATF 129 IV 53 consid. 3.2 ; arrêt du Tribunal fédéral 6B_421/2008 du 21 août 2009 consid. 5.3.1). La tromperie n’a pas besoin d’être astucieuse (arrêt du Tribunal fédéral 6B_455/2008 du 26 décembre 2008 consid. 2.2.1).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(B. CORBOZ, Les infractions en droit suisse , vol. I, 3 e éd., Berne 2010, n. 27 ad art. 251 CP). Il n'est pas déterminant que le titre apporte à lui seul la preuve décisive, mais il suffit qu'avec d'autres moyens, il serve à prouver un fait (M. DUPUIS / B. GELLER / G. MONNIER / L. MOREILLON / C. PIGUET / C. BETTEX / D. STOLL [éds], Code pénal - Petit commentaire , Bâle 2012, n. 24 ad art. 110).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Il y a ainsi création de titres faux lorsqu'un employé d'une personne morale non habilité à engager celle-ci établit et signe, sur le papier à l'en-tête de la société, des lettres de garantie émises à son nom (ATF 123 IV 17 consid. 2). Le faux intellectuel vise un titre qui émane de son auteur apparent, mais qui est mensonger dans la mesure où son contenu ne correspond pas à la réalité (ATF 123 IV 17 consid. 2b ; 122 IV 332 consid. 2b et c). Pour que le mensonge soit punissable comme faux intellectuel, il faut que le document ait une valeur probante plus grande que dans l'hypothèse d'un faux matériel (ATF 121 IV 131 consid. 2c). On parle de "valeur probante accrue" (arrêt du Tribunal fédéral 6B_447/2014 du 30 octobre 2014 consid. 1.2.1). De jurisprudence constante, les factures ne sont, en règle générale, pas des titres (ATF 138 IV 130 consid. 2.2.1 et les arrêts cités ; arrêt du Tribunal fédéral 6B_1096/2015 du 9 décembre 2015 consid. 3.3.2). Une valeur probante accrue peut cependant exceptionnellement leur être reconnue au regard de l'usage concret auquel elles sont destinées ( cf . par exemple en matière de comptabilité, ATF 138 IV 130 consid. 2.2.1 et 2.4.3) ou en raison de la fonction de la personne les ayant établies (cf. ATF 117 IV 165 consid. 2c ; 103 IV 178 consid. 2 ; arrêt du Tribunal fédéral 6B_589/2009 du 14 août 2008 consid. 2.1.1).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 132 IV 12 consid. 8.1 ; 129 IV 130 consid. 2.2 et 2.3). De tels documents dont le contenu est faux doivent dès lors être qualifiés de faux intellectuels. Une pièce (notamment une facture, voire une quittance) peut être qualifiée de titre si elle est appelée à entrer dans la comptabilité comme pièce justificative et si l'auteur a voulu fausser la comptabilité par ce moyen ou en a accepté l'éventualité (B. CORBOZ, op. cit., vol. II, n. 45-46 p. 238).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(ATF 133 IV 303 consid. 4.4 non publié, in arrêt du Tribunal fédéral 6B_367/2007 du 10 octobre 2007). Il n'est même pas nécessaire que l'auteur sache exactement en quoi l'avantage consiste (B. CORBOZ, op. cit. , n. 180 p. 265). L'illicéité de l'avantage peut également être déduite du fait que l'auteur recourt à un faux (B. CORBOZ, op. cit. , n. 181 p. 266 ; ATF 128 IV 265 consid. 2.2, dans lequel l'illicéité a été admise s'agissant de la propriétaire d'une agence de placement de danseuses, qui cherchait à obtenir les autorisations de séjour et de travail d'artistes étrangères avant le début de l'activité contractuelle, avait imité leur signature, avec leur accord, avant de remettre leur contrat d'engagement à la police cantonale des étrangers, qui exigeait une signature personnelle des contrats par les artistes alors que celles-ci étaient difficiles à atteindre à temps).</w:t>
      </w:r>
    </w:p>
    <w:p>
      <w:r>
        <w:rPr>
          <w:b/>
        </w:rPr>
        <w:t>E. 3.3</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(arrêt du Tribunal fédéral 6S.18/2007 du 2 mars 2007 consid. 2.1.1). Une simple tromperie ne suffit cependant pas ; il faut qu'elle soit astucieuse. Il y a astuce lorsque l'auteur recourt à des manœuvres frauduleuses, à une mise en scène comportant des documents ou des actes ou à un édifice de mensonges qui se recoupent de façon si raffinée que même une victime critique se laisserait tromper (ATF 135 IV 76 consid. 5.2 ; 126 IV 165 consid. 2a). Il y a ainsi manœuvre frauduleuse, par exemple, si l'auteur emploie un document faux ou fait intervenir, à l'appui de sa tromperie, un tiers participant ou manipulé (B. CORBOZ, op. cit. , n. 18 p. 327). L'astuce sera également admise lorsque l'auteur exploite un rapport de confiance préexistant propre à dissuader la dupe d'effectuer certaines vérifications (ATF 126 IV 165 consid. 2a ; 125 IV 124 consid. 3a). Notamment, lorsque l'auteur est chargé de veiller sur les intérêts de la dupe, on ne saurait attendre de celle-ci qu'elle se méfie de celui qui doit la protéger (B. CORBOZ, op. cit. , n. 20 p. 328). L'astuce est aussi réalisée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126 IV 165 consid. 2a ; arrêt du Tribunal fédéral 6B_114/2013 du 1 er juillet 2013 consid. 4.1).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 Pour que le crime d'escroquerie soit consommé, l'erreur dans laquelle la tromperie astucieuse a mis ou conforté la dupe doit avoir déterminé celle-ci à accomplir un acte préjudiciable à ses intérêts pécuniaires, ou à ceux d'un tiers (art. 146 al. 1 CP ; arrêt du Tribunal fédéral 6B_530/2008 du 8 janvier 2009 consid 3.3). Sur le plan subjectif, l'escroquerie est une infraction intentionnelle, mais le dol éventuel suffit. Conformément aux règles générales, l'intention doit porter sur l'ensemble des éléments constitutifs objectifs de l'infraction. S'agissant d'une escroquerie,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w:t>
      </w:r>
    </w:p>
    <w:p>
      <w:r>
        <w:rPr>
          <w:b/>
        </w:rPr>
        <w:t>E. 3.4</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4</w:t>
      </w:r>
    </w:p>
    <w:p>
      <w:r>
        <w:t>4.1. De la gestion déloyale en lien avec les ventes à J______ Il est établi que l'appelant était soumis à un règlement d'entreprise qui lui interdisait de faire concurrence à son employeur et lui imposait de remettre tout ce qu'il recevait de tiers. Il admet avoir eu connaissance du règlement et savoir qu'il n'était pas autorisé à obtenir des rémunérations à titre privé. Ce nonobstant, et sans en avoir demandé l'autorisation à son employeur, comme l'exigeait le règlement, il admet s'être arrangé pour fournir à J______, par le biais de K______, un diamant monté sur une bague, puis une paire de boucles d'oreilles. Ces ventes n'ont pas été comptabilisées au sein de la société, alors que cette cliente s'était rendue chez C______ et y avait été reçue par P______ avant que l'appelant ne s'immisce dans les négociations. Elle avait laissé un acompte conséquent en vue d'un achat futur. Les factures relatives à ces ventes, remises à la cliente, ne mentionnaient pas C______ mais la société L______. Enfin, l'appelant admet avoir reçu de K______, au début du mois de septembre, une enveloppe contenant USD 32'000.- au titre d'une commission pour ces ventes. Le litige porte sur la question de savoir si l'appelant avait l'intention de conserver ce montant par-devers lui, ce qu'il conteste. Ses affirmations sont toutefois contredites par de nombreux éléments de la procédure, notamment ses propres déclarations lors du constat d'huissier du 24 septembre 2009, lorsqu'il a indiqué que cette somme lui "appartenait" et provenait d'une commission reçue de K______. Celui-ci a également indiqué à la police avoir remis une enveloppe contenant "la marge d'A______" (et non de C______). Tous deux ne sauraient donc être suivis lorsqu'ils ont affirmé par la suite, de manière peu convaincante, que la commission devait être comptabilisée dans les recettes de l'intimée. En effet, si tel avait été le cas, l'appelant n'aurait pas indiqué à ses collègues qu'il avait "donné" la cliente à autrui ni que J______ ne voulait "plus rien acheter", en sollicitant l'extourne de l'acompte qu'elle avait versé. Il n'aurait pas davantage prié P______ de "rester discret sur cette transaction". Il aurait pris contact avec AB______ ou aurait à tout le moins déposé les liquidités sur le compte bancaire de la société puis en aurait informé le département de la comptabilité, comme l'exigeait le processus de l'entreprise, qu'il ne pouvait ignorer au vu de sa position hiérarchique. A défaut, il en aurait discuté avec U______, qui était son supérieur direct et avec lequel il s'entretenait "quotidiennement" selon ses propres déclarations, étant rappelé qu'il n'avait toujours pas rapporté l'existence de la commission le 24 septembre 2009 alors qu'il l'avait reçue au début du mois. Ses explications selon lesquelles l'enveloppe serait "tombée du bureau" sur sa serviette n'emportent pas conviction au vu des éléments qui précèdent et du procès-verbal établi par l'huissier, qui précise expressément que l'enveloppe ne se trouvait plus dans le coffre. Enfin, le fait qu'il n'ait pas emporté la commission dans son safe au sein d'G______ est irrelevant, tant le coffre de son bureau contenant divers objets de nature privée ou appartenant à des tiers faisait de facto office de safe privé. Pour la même raison, le fait que d'autres employés avaient accès à son coffre, notamment D______, atteste tout au plus de la confiance générale qui régnait entre les employés de l'intimée, mais ne saurait disculper l'appelant. La CPAR a ainsi acquis la conviction, sur la base de ce faisceau d'indices, que l'appelant avait l'intention de conserver la commission litigieuse et qu'il a même pris soin, juste avant l'inventaire du 24 septembre 2009, de sortir l'enveloppe de son coffre et de la déposer sur son porte-documents, vraisemblablement sans avoir eu le temps de la ranger dans sa serviette. Ce faisant, il s'est rendu coupable de gestion déloyale. En tant que responsable de la succursale de Genève de l'intimée, il assumait une position de gérant et disposait d'une grande autonomie décisionnelle, étant rappelé que personne à Genève ne surveillait ses activités. Ses devoirs, tels qu'ils résultaient du règlement de l'entreprise, comprenaient l'interdiction expresse d'accepter des commissions de la part de tiers, en particulier de clients. Le fait d'organiser sciemment des ventes "hors-magasin" pour J______ et de conserver la commission y relative, afin de s'enrichir, constitue une violation caractérisée de ses devoirs et a porté atteinte aux intérêts patrimoniaux de son employeur, en détournant une cliente qui était pourtant déjà fidélisée par un précédent achat. L'intimée s'est ainsi vue privée de la possibilité de conclure une vente avec une cliente qui était déterminée à se fournir chez elle au point de verser un acompte de USD 22'000.- et qui a d'ailleurs procédé à deux achats conséquents, l'appelant s'étant abstenu de conclure ces affaires pour le compte de l'intimée alors que ses devoirs lui imposaient de les favoriser. Il a accepté une commission illicite l'ayant conduit à adopter un comportement contraire aux intérêts économiques sur lesquels il devait pourtant veiller. Contrairement à ce qu'il soutient, ces agissements ne sauraient être qualifiés de simple "service" rendu à un client en vue de sa fidélisation. Même si une démarche de ce type se conçoit dans le milieu de la vente de bijoux de luxe, le seul fait que l'appelant ait conservé la commission par-devers lui suffit d'ailleurs, en tant que de besoin, à invalider pareille hypothèse. Pour ces raisons, le verdict de culpabilité du chef de gestion déloyale sera confirmé.</w:t>
      </w:r>
    </w:p>
    <w:p>
      <w:r>
        <w:rPr>
          <w:b/>
        </w:rPr>
        <w:t>E. 4.2</w:t>
      </w:r>
    </w:p>
    <w:p>
      <w:r>
        <w:t>Du faux dans les titres en lien avec les ventes à J______ Il ressort de la procédure que l'appelant a remis à J______ deux factures sur papier à en-tête de la société L______, avec siège au Panama, alors que le fournisseur des pierres était basé à Hong-Kong. Il admet avoir préparé une nouvelle facture pour le diamant monté sur une bague, à la demande de la cliente. A cette fin, il a utilisé le papier à en-tête de la société que K______ lui avait remis. Le projet de facture y relatif a été retrouvé sur son ordinateur professionnel, tandis que les documents constitutifs d'L______ se trouvaient, selon l'intimée, dans son bureau. Les explications fournies par l'appelant ne convainquent pas. D'une part, tant l'appelant que K______ se sont montrés évasifs quant aux raisons de leurs agissements, l'un invoquant la nécessité de satisfaire le banquier de la cliente, tandis que l'autre s'en référait à la demande de la cliente, au demeurant fantaisiste, de montrer les factures à son fils ou à sa fille. D'autre part, aucun employé de l'intimée n'avait connaissance de l'existence d'L______, dont le papier à en-tête a été utilisé exclusivement dans le cadre des ventes parallèles à J______, organisées par l'appelant et K______. La présence des documents de constitution de la société dans le bureau de l'appelant n'a donc aucune justification, si ce n'est l'usage qu'en a fait l'appelant. En émettant une facture à l'en-tête d'L______ alors qu'il en était l'auteur réel mais n'assumait aucune fonction au sein de cette société, l'appelant a créé un titre faux et réalisé les conditions du faux matériel. Le faux document peut être qualifié de titre au sens de l'art. 110 CP, en ce sens qu'il avait pour but de prouver un fait ayant une portée juridique, en l'occurrence l'existence et les modalités de la vente du bijou. Le but avoué de cette démarche, même si l'appelant et K______ sont restés flous quant aux détails, était de se prévaloir du titre à l'égard d'un tiers, qu'il s'agisse du banquier de la cliente pour démontrer l'origine des fonds ou d'une compagnie d'assurance en vue d'assurer les bijoux. Compte tenu du siège panaméen de la société, l'acte pouvait aussi être mû par des considérations fiscales (dans l'intérêt de l'acheteuse et/ou du vendeur) ou comptables (cas échéant, en vue d'une comptabilité parallèle tenue par l'appelant et/ou K______). Ces questions peuvent rester ouvertes, puisqu'il importe peu que l'appelant sache exactement en quoi consistait l'avantage. Ce qui est déterminant, c'est son intention, à tout le moins par dol éventuel, de procurer un avantage illicite à lui-même ou à autrui (par hypothèse, J______ ou K______), l'illicéité de l'avantage résultant du seul recours à la création d'un faux ( cf. ATF 128 IV 265 précité). De même, s'agissant d'un faux matériel, il est sans importance de savoir si une personne a effectivement été trompée ou non, ou si le contenu du titre était mensonger ou non, étant au besoin relevé que l'origine panaméenne d'L______ n'est pas compatible avec celle, hongkongaise, du fournisseur de K______. Pour ces raisons, la condamnation de l'appelant pour faux dans les titres sera confirmée.</w:t>
      </w:r>
    </w:p>
    <w:p>
      <w:r>
        <w:rPr>
          <w:b/>
        </w:rPr>
        <w:t>E. 4.3</w:t>
      </w:r>
    </w:p>
    <w:p>
      <w:r>
        <w:t>De la tentative de gestion déloyale lors des pourparlers avec M______ Les déclarations de l'appelant, selon lesquelles Y______ aurait proposé de faire un "geste" qu'il n'avait même pas sollicité, ne sont pas crédibles. Elles sont contredites par les déclarations concordantes de deux témoins, sans compter D______ qui mentionne également qu'une commission était prévue pour l'appelant. A cela s'ajoute qu'il paraît fort peu plausible qu'une société s'engage spontanément à verser une commission qui n'a pas été convenue initialement, au détriment de ses intérêts. Sur ce point également, le récit de X______ et Y______ faisant état de négociations afin de ramener la commission au montant de CHF 800.- emporte conviction. En agissant de la sorte, l'appelant a tenté d'obtenir une commission pour son propre compte, en violation des devoirs que lui imposait sa position de gérant de la succursale genevoise de l'intimée, les développements supra sous consid. 4.1 étant valables mutatis mutandis . Il avait ainsi l'intention de porter atteinte au patrimoine de l'intimée, en encaissant à titre privé une commission qu'il devait remettre à son employeur et que M______ lui destinait d'ailleurs. En raison du refus de cette société de verser la commission, l'acte en est resté au stade de la tentative. Par conséquent, le verdict de culpabilité pour tentative de gestion déloyale sera confirmé.</w:t>
      </w:r>
    </w:p>
    <w:p>
      <w:r>
        <w:rPr>
          <w:b/>
        </w:rPr>
        <w:t>E. 4.4</w:t>
      </w:r>
    </w:p>
    <w:p>
      <w:r>
        <w:t>De l'escroquerie des "Cash guides" liés à la vente d'un bijou N______ Il est incontesté que l'intimée, par le biais de D______, a remis à l'appelant CHF 36'000.- sous la forme de "Cash guides". A cette occasion, quatre quittances datées de février 2008 ont été émises. Comme le relève U______ de manière crédible, les numéros de quittances sont proches, de sorte qu'il y a lieu d'admettre que la quittance datée de février 2007 l'a été par erreur, une inadvertance de ce type étant d'ailleurs plausible en début d'année. Il est également constant que N______ n'a versé aucune commission pour la vente litigieuse, puisque l'acheteur faisait déjà partie de sa clientèle, et que ni l'intimée ni la O______ n'ont reçu de rémunération. Restent litigieuses les questions de savoir à qui la commission était destinée et dans quel contexte elle a été versée. La thèse de l'appelant selon laquelle le bénéficiaire de la commission était AG______ n'est pas compatible avec les éléments figurant au dossier. En effet, il est établi que les commissions avaient pour but de rémunérer la O______ et non AG______ SA. Cela découle des indications figurant expressément sur les quittances "Cash guides", ainsi que des témoignages concordants de U______, AB______ et D______, pour lesquels il avait toujours été question de rémunérer la O______. Les déclarations de D______ sont d'autant plus crédibles quelle n'avait aucune raison de procéder autrement que selon les instructions qu'elle avait reçues au vu de son statut de subordonnée de l'appelant. A l'inverse, la thèse de celui-ci est dépourvue de toute force probante. AG______ a commencé par nier toute relation d'affaires avec l'appelant. Confronté à l'attestation que celui-ci lui avait fait signer au cours de la procédure, il a précisé avoir reçu une commission de CHF 36'000.-, versée en espèces "en une fois", alors qu'il ressort de la comptabilité de AG______ SA que deux montants distincts auraient été enregistrés, à dix mois d'écart l'un de l'autre, presque deux, respectivement trois, ans après l'établissement des quittances "Cash guides". Ces transactions ne portaient aucune indication du nom de l'appelant ni de l'intimée, ni même une référence au bijou N______. On doit inférer des caractéristiques desdites transactions que la maison AG______ est parfaitement étrangère à la transaction N______, contrairement à ce que son représentant et l'appelant ont affirmé. L'appelant prétend que U______ lui aurait confirmé que l'intimée avait reçu une commission de la part de N______. Cette affirmation entre en contradiction avec le fait qu'il savait parfaitement, selon ses propres aveux, qu'il avait été évincé de la transaction et qu'il s'en était d'ailleurs plaint auprès de N______, qui a confirmé ce point. Elle est également contredite par les déclarations de son chef, selon lesquelles l'appelant l'avait contacté en lui indiquant qu'un client de la O______ souhaitait acquérir un bijou N______ et qu'une commission de CHF 72'000.- était prévue pour l'intimée, à charge pour elle d'en remettre la moitié à l'apporteur d'affaires O______. U______ était ainsi d'accord sur le principe de la rémunération mais son accord ne valait que pour le cas où la vente se concrétiserait et où la commission serait versée à l'intimée. L'appelant n'avait donc aucune raison de demander à U______ si l'argent avait été reçu alors qu'il savait pertinemment que tel n'était pas le cas, si ce n'est en vue d'un versement indu. A cela s'ajoute que son explication selon laquelle la "direction" de l'intimée aurait préparé de "fausses" quittances (alors que celles-ci ont été établies par D______, qui n'était en aucun cas membre de la direction du groupe) pour justifier le paiement d'une commission aussi importante est loufoque, l'indication d'une bijouterie plutôt qu'une autre étant sans effet sur la justification de la transaction. De plus, ses déclarations ont varié, notamment lorsqu'il a commencé par soutenir, devant le premier juge, que AC______ avait promis une commission, avant d'affirmer qu'il n'en avait pas parlé. En définitive, il ressort de ce qui précède que l'appelant a annoncé à U______ qu'une commission de CHF 36'000.- pourrait être due à la O______. Il a obtenu son accord de principe sur un tel paiement puis a organisé son exécution, alors qu'il savait pertinemment que N______ ne verserait aucune commission. Dans ce but, il a demandé à D______, qui était sa subordonnée, de préparer la rémunération sous forme de "Cash guides", en se prévalant de l'accord de AB______, ce dernier se prévalant de l'accord de principe de U______. L'appelant a donc mis en place puis profité d'un quiproquo , tout en jouant sur son rôle de directeur de la succursale de Genève et en abusant du rapport de confiance qu'il entretenait au vu de sa position hiérarchique. Il a manipulé D______, AB______ et U______ afin qu'ils interagissent dans le sens désiré, en se prévalant systématiquement de l'accord de son chef, qui était pourtant subordonné à l'octroi d'une commission par la maison N______. Ce procédé est astucieux. L'on ne saurait reprocher à l'intimée d'avoir manqué de diligence et de n'avoir pas surveillé étroitement l'appelant durant cette transaction. Celui-ci disposait d'une large autonomie que nécessitaient ses fonctions de gérant de la succursale de Genève. Même si la vente du bijou N______ portait sur un montant très élevé, la commission escomptée représentait somme toute une recette d'importance toute relative pour un groupe tel que celui de l'intimée. En d'autres termes, cette transaction ne sortait pas à ce point de l'ordinaire et ne nécessitait pas une surveillance accrue du gérant unique de la succursale, qui avait précisément pour tâche de s'assurer seul du bon déroulement de ce type d'événements. Ni U______ ni AB______ ne pouvaient ni ne devaient se douter que l'appelant affirmerait qu'une commission avait été versée dans le cadre des affaires de la succursale qu'il dirigeait, alors que tel n'avait pas été le cas. Les affirmations fallacieuses et délibérées de l'appelant ont déterminé l'intimée à lui remettre le montant de CHF 36'000.-, qu'il s'est approprié, alors qu'elle n'avait reçu aucune rétribution de la part de N______ et qu'elle n'avait donc aucune raison de rémunérer quiconque. Par conséquent, les éléments constitutifs de l'escroquerie sont réalisés.</w:t>
      </w:r>
    </w:p>
    <w:p>
      <w:r>
        <w:rPr>
          <w:b/>
        </w:rPr>
        <w:t>E. 5.1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5.2</w:t>
      </w:r>
    </w:p>
    <w:p>
      <w:r>
        <w:t>En l'espèce, l'appelant ne conteste en soi pas la peine, sinon qu'il conclut à son acquittement. Le sursis lui est acquis et le type de sanction prononcée, soit une peine pécuniaire, est adéquat. Par ailleurs, la quotité de la peine résulte d'une correcte application des critères de l'art. 47 CP, compte tenu également de la violation du principe de célérité, de sorte que la peine prononcée par le premier juge sera confirmée.</w:t>
      </w:r>
    </w:p>
    <w:p>
      <w:r>
        <w:rPr>
          <w:b/>
        </w:rPr>
        <w:t>E. 6.1</w:t>
      </w:r>
    </w:p>
    <w:p>
      <w:r>
        <w:t>La partie plaignante peut faire valoir ses conclusions civiles déduites de l’infraction par adhésion à la procédure (art. 122 al. 1 CPP).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w:t>
      </w:r>
    </w:p>
    <w:p>
      <w:r>
        <w:rPr>
          <w:b/>
        </w:rPr>
        <w:t>E. 6.2</w:t>
      </w:r>
    </w:p>
    <w:p>
      <w:r>
        <w:t>En l'espèce, l'appelant conteste les conclusions civiles de l'intimée dans la mesure où il plaide son acquittement. Leur montant, correspondant aux "Cash guides" prélevés pour la O______, n'est en soi pas contesté. Compte tenu du verdict de culpabilité retenu par la CPAR, l'appel sera également rejeté sur ce point. Le sort de la créance compensatrice et les mesures de confiscation seront également confirmés dans la mesure où ils correspondent aux critères légaux.</w:t>
      </w:r>
    </w:p>
    <w:p>
      <w:r>
        <w:rPr>
          <w:b/>
        </w:rPr>
        <w:t>E. 7</w:t>
      </w:r>
    </w:p>
    <w:p>
      <w:r>
        <w:t>L'appelant, qui succombe pour l'essentiel mais obtient très partiellement gain de cause concernant la participation aux honoraires d'avocats en première instance, supportera les trois quarts des frais de la procédure d'appel, qui comprennent dans leur totalité un émolument de jugement de CHF 4'000.- (art. 428 al. 1 CPP et art. 14 al. 1 let. e du Règlement fixant le tarif des frais en matière pénale du 22 décembre 2010 [RTFMP ; E 4 10.03]). A l'instar du Tribunal de police, la CPAR ordonnera le séquestre du compte de l'appelant auprès d'G______ SA à concurrence de CHF 3'000.- correspondant à la part des frais d'appel supportée par l'appelant, puis à l'affectation de ce montant aux frais de la procédure (art. 268 al. 1 let. a CPP).</w:t>
      </w:r>
    </w:p>
    <w:p>
      <w:r>
        <w:rPr>
          <w:b/>
        </w:rPr>
        <w:t>E. 8</w:t>
      </w:r>
    </w:p>
    <w:p>
      <w:r>
        <w:t>8.1.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La partie plaignante a obtenu gain de cause au sens de cette disposition lorsque le prévenu a été condamné et/ou si les prétentions civiles ont été admises (ATF 139 IV 102 consid. 4.3; M. NIGGLI / M. HEER / H. WIPRÄCHTIGER, Strafprozessordnung – Jugendstrafprozess-ordnung, Basler Kommentar StPO/JStPO, 2e éd., Bâle 2014 , n. 10 ad art. 433 CPP ; N. SCHMID, Schweizerische Strafprozessordnung : Praxiskommentar , 2 e éd. Zurich 2013, n. 6 ad art. 433 CPP). En particulier, les démarches doivent apparaître nécessaires et adéquates pour la défense du point de vue de la partie plaignante raisonnable (arrêts du Tribunal fédéral 6B_495/2014 du 6 octobre 2014 consid. 2.1 ; 6B_159/2012 du 22 juin 2012 consid. 2.3).</w:t>
      </w:r>
    </w:p>
    <w:p>
      <w:r>
        <w:rPr>
          <w:b/>
        </w:rPr>
        <w:t>E. 8.2</w:t>
      </w:r>
    </w:p>
    <w:p>
      <w:r>
        <w:t>En l'espèce, l'intimée obtient gain de cause en appel, dans la mesure où le jugement de première instance est pour l'essentiel confirmé (toutefois, cf. infra 8.3). Sur le principe, elle a donc droit à une indemnité, ce qui se justifie d'autant plus que la cause revêt une certaine complexité mais que le Ministère public ne s'est pas rendu aux débats d'appel au vu de la quotité de la peine. Il convient toutefois de réduire ses prétentions d'une heure, les débats d'appel n'ayant duré que trois heures. L'appelant sera donc condamné à lui verser CHF 3'924.- à titre de participation à ses honoraires de conseil pour la procédure d'appel.</w:t>
      </w:r>
    </w:p>
    <w:p>
      <w:r>
        <w:rPr>
          <w:b/>
        </w:rPr>
        <w:t>E. 8.3</w:t>
      </w:r>
    </w:p>
    <w:p>
      <w:r>
        <w:t>Quant à la procédure de première instance, l'appelant conclut à ce que les acquittements prononcés soient pris en compte, au moins partiellement, dans le calcul du montant de l'indemnisation de la partie plaignante. En effet, l'appelant a été acquitté pour quatre complexes de fait et condamné pour les six autres. Il y a également lieu de tenir compte du rejet, à raison d'environ 85%, des prétentions civiles de l'intimée, qui étaient de l'ordre de CHF 250'000.- alors que seuls CHF 36'000.- ont été octroyés en première instance. Ainsi, le plein octroi des honoraires – au demeurant raisonnables – de l'intimée au titre de ses frais de défense est excessif, même s'il est certain que le nombre exact d'infractions retenues n'est pas seul déterminant et que la collaboration de l'appelant à la procédure, qualifiée de mauvaise, a pour partie contribué à la complexité de l'instruction. Au vu de tous ces éléments, il convient d'arrêter à CHF 40'000.-, TVA comprise, l'indemnité de l'intimée pour ses frais de défense, correspondant à un peu moins des deux tiers du montant sollicité.</w:t>
      </w:r>
    </w:p>
    <w:p>
      <w:r>
        <w:rPr>
          <w:b/>
        </w:rPr>
        <w:t>E. 9</w:t>
      </w:r>
    </w:p>
    <w:p>
      <w:r>
        <w:t>9.1.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 in Jusletter du 13 février 2012 ; A. KUHN / Y. JEANNERET (éds), Commentaire romand : Code de procédure pénale suisse , Bâle 2011, n. 27 ad art. 429).</w:t>
      </w:r>
    </w:p>
    <w:p>
      <w:r>
        <w:rPr>
          <w:b/>
        </w:rPr>
        <w:t>E. 9.2</w:t>
      </w:r>
    </w:p>
    <w:p>
      <w:r>
        <w:t>En l'espèce, l'appelant sollicite une indemnisation d'appel de CHF 6'242.-. Il convient d'y ajouter une heure d'activité au tarif horaire de CHF 450.-, la durée de l'audience d'appel ayant été estimée à deux heures au lieu de trois, pour un total de CHF 6'692.-. L'appelant obtient très partiellement gain de cause, soit sur le montant de l'indemnité de défense de l'intimée en première instance, justifiant de mettre le quart des frais de procédure d'appel à la charge de l'Etat. Cet aspect, certes accessoire par rapport à la culpabilité du chef de quatre infractions pour lesquelles il plaidait l'acquittement, n'est pas pour autant négligeable. Le principe d'une indemnité pour ses frais de défense est donc acquis. Dans son montant, il convient de fixer cette indemnité, en équité, à CHF 1'700.-, TVA comprise, correspondant à peu près au quart des honoraires de son conseil, qui sont raisonnables dans leur quotité.</w:t>
      </w:r>
    </w:p>
    <w:p>
      <w:r>
        <w:rPr>
          <w:b/>
        </w:rPr>
        <w:t>E. 9.3</w:t>
      </w:r>
    </w:p>
    <w:p>
      <w:r>
        <w:t>Quant à l'indemnité pour ses frais de défense en première instance, il faut admettre que l'appelant a été acquitté de près de la moitié des infractions qui lui étaient reprochées et que les conclusions civiles de la partie plaignante n'ont été octroyées qu'à raison de 15% environ. Les nombreux actes d'instruction relatifs aux complexes de fait pour lesquels il a été acquitté, en particulier l'audition de divers témoins, ne revêtaient aucune utilité pour les infractions retenues par le Tribunal de police et confirmées en appel. Une indemnité est donc due. Cela étant, la mauvaise collaboration de l'appelant à la procédure a compliqué l'instruction. Au vu de ce qui précède, et compte tenu de l'indemnité allouée à la partie plaignante à raison de presque deux tiers de ses honoraires, il convient de fixer celle de l'appelant à CHF 25'000.-, correspondant à environ un tiers des honoraires encourus.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