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P/16321/2015 vom 19. Dezember 2016</w:t>
      </w:r>
    </w:p>
    <w:p>
      <w:r>
        <w:t>GE Cour de justice, 2016-12-19, FR</w:t>
      </w:r>
    </w:p>
    <w:p>
      <w:r>
        <w:rPr>
          <w:b/>
        </w:rPr>
        <w:t xml:space="preserve">Quelle: </w:t>
      </w:r>
      <w:r>
        <w:t>https://mcp.opencaselaw.ch/entscheid/ge_gerichte_P_16321_2015</w:t>
      </w:r>
    </w:p>
    <w:p>
      <w:r>
        <w:t>FR: GE_GERICHTE P/16321/2015 du 19 décembre 2016</w:t>
      </w:r>
    </w:p>
    <w:p>
      <w:r>
        <w:t>IT: GE_GERICHTE P/16321/2015 del 19 dicembre 2016</w:t>
      </w:r>
    </w:p>
    <w:p>
      <w:pPr>
        <w:pStyle w:val="Heading2"/>
      </w:pPr>
      <w:r>
        <w:t>Regeste</w:t>
      </w:r>
    </w:p>
    <w:p>
      <w:r>
        <w:t>SÉJOUR ILLÉGAL ; VIOLATION DE DOMICILE ; CONTRAVENTION ; LIBÉRATION CONDITIONNELLE ; RÉVOCATION(EN GÉNÉRAL) | LEtr.115.1 B CP.186 LStup.19a CP.86</w:t>
      </w:r>
    </w:p>
    <w:p>
      <w:pPr>
        <w:pStyle w:val="Heading2"/>
      </w:pPr>
      <w:r>
        <w:t>Erwägungen</w:t>
      </w:r>
    </w:p>
    <w:p>
      <w:r>
        <w:rPr>
          <w:b/>
        </w:rPr>
        <w:t>E. 1</w:t>
      </w:r>
    </w:p>
    <w:p>
      <w:r>
        <w:t>L'appel et l'appel joint sont recevables pour avoir été interjetés et motivés selon la forme et dans les délais prescrits (art. 398 s. et 401 CPP). ![endif]&gt;![if&gt; La partie qui attaque seulement certaines parties du jugement est tenue d'indiquer dans la déclaration d'appel, de manière définitive, sur quelles parties porte l'appel, à savoir (art. 399 al. 4 CPP) notamment,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Par arrêté fédéral du 18 juin 2010, l'Assemblée fédérale a approuvé la reprise de la Directive sur le retour en tant que développement de l'acquis de Schengen (RO 2010 5925). Les juridictions suisses doivent ainsi faire leur possible pour mettre en œuvre la jurisprudence européenne relative à cette directive (arrêts du Tribunal fédéral 6B_320/2013 du 29 août 2013 consid. 3.1 ; 6B_173/2013 du 19 août 2013 consid. 1.4). La Cour de justice de l'Union européenne (ci-après : CJUE) a précisé que les ressortissants de pays tiers ayant, outre le délit de séjour irrégulier, commis un ou plusieurs autres délits, pouvaient le cas échéant, en vertu de l'art. 2 par. 2 let. b de la Directive sur le retour, être soustraits au champ d'application de cette directive (arrêt du 6 décembre 2011 C-329/11 Achughbabian , ch. 41). Le Tribunal fédéral a déduit de cette jurisprudence que la Directive sur le retour n'était pas applicable aux ressortissants des pays tiers qui ont commis, outre le séjour irrégulier, un ou plusieurs autres délits en dehors du droit pénal sur les étrangers (arrêts du Tribunal fédéral 6B_1189/2015 du 13 octobre 2016 consid. 2 et 6B_320/2013 du 29 août 2013 consid. 3.2). Au regard de cette jurisprudence et compte tenu du fait que l'appelant joint a été reconnu coupable de violation de domicile, il y a lieu d'admettre que la Directive sur le retour ne lui est pas applicable de sorte que la question de l'absence de mise en œuvre d'une procédure administrative tendant au renvoi forcé ne se pose pas et que le séjour est punissable. Le jugement de première instance sera dès lors confirmé sur ce point également.</w:t>
      </w:r>
    </w:p>
    <w:p>
      <w:r>
        <w:rPr>
          <w:b/>
        </w:rPr>
        <w:t>E. 2</w:t>
      </w:r>
    </w:p>
    <w:p>
      <w:r>
        <w:t>A teneur de l'art. 19a al. 1 LStup, celui qui, sans droit, aura consommé intentionnellement des stupéfiants ou celui qui aura commis une infraction à l’art. 19 pour assurer sa propre consommation est passible de l’amende. Au vu des éléments du dossier, cette infraction est réalisée, ce qui n'est au demeurant pas contesté par l'appelant joint. Le jugement sera dès lors confirmé sur ce point. ![endif]&gt;![if&gt;</w:t>
      </w:r>
    </w:p>
    <w:p>
      <w:r>
        <w:rPr>
          <w:b/>
        </w:rPr>
        <w:t>E. 3.1</w:t>
      </w:r>
    </w:p>
    <w:p>
      <w:r>
        <w:t>Aux termes de l'art. 186 CP, se rend coupable de violation de domicile notamment celui qui, d'une manière illicite et contre la volonté de l'ayant droit, aura pénétré dans une habitation ou un local fermé. ![endif]&gt;![if&gt; Selon la jurisprudence,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Les infractions en droit suisse , vol. II, Berne 2010, n° 45 ss ad art. 186 CP).</w:t>
      </w:r>
    </w:p>
    <w:p>
      <w:r>
        <w:rPr>
          <w:b/>
        </w:rPr>
        <w:t>E. 3.2</w:t>
      </w:r>
    </w:p>
    <w:p>
      <w:r>
        <w:t>En l'espèce, A______ a pénétré dans un magasin COOP alors qu'il faisait l'objet d'une interdiction d'entrée de deux ans, valablement notifiée et signée le 10 novembre 2014, faits constitutifs de violation de domicile. Entendu à plusieurs reprises, l'appelant a d'abord admis savoir être interdit de pénétrer dans le magasin, sans penser que l'achat de deux bières entrait dans cette interdiction, pour ensuite contester sa notification formelle de sorte qu'il ne pouvait en connaître la fin, et ce malgré sa signature. Compte tenu de ces variations, cette explication apparait de pure circonstance. Fort de ce constat, la thèse de la négligence avancée par l'appelant joint ne saurait être retenue. La première version n'est pas davantage de nature à le disculper, l'interdiction d'entrée n'étant assortie d'aucune exception, ce que l'appelant savait. Le verdict de culpabilité sera ainsi confirmé.</w:t>
      </w:r>
    </w:p>
    <w:p>
      <w:r>
        <w:rPr>
          <w:b/>
        </w:rPr>
        <w:t>E. 4</w:t>
      </w:r>
    </w:p>
    <w:p>
      <w:r>
        <w:t>4.1.1. L'article 115 al. 1 let. b LEtr réprime le comportement de quiconque séjourne illégalement en Suisse, notamment après l'expiration de la durée du séjour non soumis à autorisation ou du séjour autorisé. En l'occurrence, le recourant ne conteste pas s'être trouvé en séjour illicite mais invoque son impunissabilité du fait que l'infraction à la loi fédérale sur les étrangers serait le seul délit commis.![endif]&gt;![if&gt;</w:t>
      </w:r>
    </w:p>
    <w:p>
      <w:r>
        <w:rPr>
          <w:b/>
        </w:rPr>
        <w:t>E. 5</w:t>
      </w:r>
    </w:p>
    <w:p>
      <w:r>
        <w:t>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5.1</w:t>
      </w:r>
    </w:p>
    <w:p>
      <w:r>
        <w:t>Les infractions de violation de domicile et de séjour illégal sont punies d'une peine privative de liberté de trois ans, respectivement d'un an au plus ou d'une peine pécuniaire ; celle à l'art. 19a ch. 1 LStup de l'amende.![endif]&gt;![if&gt;</w:t>
      </w:r>
    </w:p>
    <w:p>
      <w:r>
        <w:rPr>
          <w:b/>
        </w:rPr>
        <w:t>E. 5.3</w:t>
      </w:r>
    </w:p>
    <w:p>
      <w:r>
        <w:t>Le séjour illégal est un délit continu.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du 31 mars 2014).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 L'infraction à l'art. 115 al. 1 let. b LEtr étant un délit continu, les peines prononcées de ce chef dans plusieurs procédures ne peuvent dépasser la peine maximale arrêtée par cette disposition (ATF 135 IV 6 consid. 4.2 p. 11 ; arrêt du Tribunal fédéral 6B_1226/2013 , du 31 mars 2014 consid. 1.1).</w:t>
      </w:r>
    </w:p>
    <w:p>
      <w:r>
        <w:rPr>
          <w:b/>
        </w:rPr>
        <w:t>E. 5.4</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5.5</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 d'ensemble au sens de l'art. 49 al. 1 CP n'est pas possible si les sanctions ne sont pas du même genre. Ces dernières doivent être prononcées de manière cumulative, car le principe de l'absorption s'applique seulement aux peines du même genre. Il en va de même en cas de concours rétrospectif au sens de l'art. 49 al. 2 CP. Il est par conséquent exclu de prononcer une peine privative de liberté, à titre de peine complémentaire, à une peine pécuniaire ordonnée précédemment (ATF 137 IV 57 consid. 4.3.1). 5.6.1.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(ATF 135 IV 180 consid. 2.1 p. 185).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5.6.2.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consid. 2.1 p. 185 s. ; 134 IV 1 consid. 4.2.1 p. 5).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w:t>
      </w:r>
    </w:p>
    <w:p>
      <w:r>
        <w:rPr>
          <w:b/>
        </w:rPr>
        <w:t>E. 5.7</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cette disposition suppose la commission d'un crime ou d'un délit, laissant présager que le détenu libéré conditionnellement ne s'en tiendrait pas là (Message concernant la modification du Code pénal suisse et du Code pénal militaire, ainsi qu'une loi régissant la condition pénale des mineurs du 21 septembre 1998 ; FF 1998 1787). Un tribunal devait décider de la réintégration en procédant à une "projection comportementale dans l'avenir", excluant une "infraction accidentelle"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2e éd., Berne 2006, § 5 n. 95 p. 164).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Dans l'émission du pronostic, le juge dispose d'un large pouvoir d'appréciation (arrêts du Tribunal fédéral 6B_1034/2013 du 31 mars 2014 consid. 2.1, 6B_663/2009 du 19 octobre 2009 consid. 1.2 et 6B_303/2007 du 6 décembre 2007 consid. 6).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Il ne doit pas se contenter de cumuler les deux peines (M. DUPUIS / B. GELLER / G. MONNIER / L. MOREILLON / C. PIGUET / C. BETTEX / D. STOLL (éds), Code Pénal, Petit commentaire, n. 13 ad art. 89). 5.8.1 . En l'espèce, la faute de l'intimé doit être qualifiée de moyenne, dans la mesure où il s'obstine à séjourner en Suisse sans droit malgré ses précédentes condamnations, faisant ainsi preuve d'un mépris patent de l'ordre juridique suisse. A cet égard, son argument selon lequel ses précédentes condamnations auraient été prononcées en violation du droit ne peut être retenu. La Cour de céans est liée par ces décisions entrées en force, si bien qu'il ne lui appartient pas de revoir leur légalité. L'intimé n'a eu que faire de l'interdiction d'entrée dans les magasins COOP dont il fait l'objet, agissant par pure convenance personnelle. La collaboration à la procédure ne peut être qualifiée de bonne, dès lors que l'appelant joint est revenu sur ses aveux initiaux au fur et à mesure de l'instruction. Sa situation personnelle précaire n'est pas un facteur à décharge, dans la mesure où elle est la conséquence de son refus de quitter un pays où il séjourne illégalement. Aucune prise de conscience par l'intéressé du caractère répréhensible de son comportement n'est perceptible et les condamnations dont il a fait l'objet n'ont eu aucun effet dissuasif, nonobstant le prononcé de peines privatives de liberté de plusieurs mois. Il a d'ailleurs récidivé deux jours après le jugement entrepris s'agissant de la violation de domicile, entrant dans le même magasin COOP et continue à séjourner en Suisse sans droit. Vu la répétition de délits de même genre, cumulée aux contraventions à la LStup et au refus explicite l'intimé de retourner volontairement dans son pays, alors même que sa demande d'asile a été rejetée, le pronostic ne peut qu'être défavorable. A cela s’ajoute une situation précaire qui augmente encore le risque de commission de nouvelles infractions. Par conséquent, seule une peine ferme apparaît adéquate. Compte tenu de la situation personnelle et financière de l'intimé et de son imperméabilité à la sanction pénale, une peine pécuniaire ou un travail d'intérêt général est inenvisageable. Les conditions pour le prononcé d'une courte peine privative de liberté sont ainsi réunies. Les infractions retenues entrent en concours (art. 49 al.1 CP), ce qui justifie une augmentation de la peine pour l'infraction la plus grave, en l'occurrence la violation de domicile, passible d'une peine privative de liberté de trois ans, dans une juste proportion. Il convient de préciser que le présent séjour illégal ne relève pas d'une intention délictuelle différente des cas précédents, l'appelant ayant résidé en Suisse sans interruption depuis une vingtaine d'année. La quotité de la peine privative de liberté doit dès lors être fixée en tenant également compte des peines déjà subies par l'appelant en raison d'infractions à la LEtr. L'examen du casier judiciaire de l'appelant joint conduit la CPAR à évaluer à 330 jours (peines pécuniaires et peines privative de liberté confondues) la somme des peines déjà encourues sanctionnant le séjour illégal, soit un total en deçà de la peine menace d'un an prévue par la loi. Par conséquent, le plafond fixé par la jurisprudence n'est pas encore atteint. Il n'y a pas lieu de prononcer une peine complémentaire au sens de l'art. 49 al. 2 CP en raison de la condamnation du 21 avril 2016, la sanction prononcée à ce titre étant une peine pécuniaire, soit d'un genre différent. Eu égard à l'ensemble des éléments pertinents, la violation de domicile appelle une peine de l'ordre de 30 jours. Cette peine doit ensuite être augmentée pour tenir compte de la violation de la LEtr, préoccupante du point de vue de la prise de conscience, d'où en définitive une peine adéquate de 60 jours. 5.8.2. Dans la mesure où l'intimé a commis de nouveaux délits dans le délai d'épreuve d'un an que lui avait fixé le TAPEM au moment de l'octroi de sa libération conditionnelle le 8 mai 2015 (prolongé par la suite), il y a lieu de se prononcer encore sur son éventuelle révocation. Considérant qu'il a récidivé immédiatement après sa sortie de prison pour des infractions de même type, après avoir été condamné à plusieurs peines privatives de liberté, ne concrétisant de surcroît pas le projet avancé dans sa demande de libération conditionnelle, le pronostic se présente sous un jour très défavorable. Vu la durée de la période pénale, la récidive ne constitue pas un cas bagatelle, et démontre au contraire le mépris par l'appelant joint de la législation suisse en vigueur. Le prononcé d'une peine ferme seule s'avère également insuffisante pour détourner l'appelant de la commission de nouvelles infractions. La révocation de la libération conditionnelle s'impose. Conformément à l'art. 89 al. 6 CP, les conditions d'une peine privative de liberté étant réunies s'agissant des nouvelles infractions, et celle-ci entrant en concours avec le solde de deux mois et 19 jours devenu exécutoire compte tenu de la révocation de la libération conditionnelle, l'appelant joint sera condamné à une peine d'ensemble, qui ne saurait être fixée par le simple cumul mathématique des deux peines à prendre en considération. Une peine d'ensemble de 130 jours de privation de liberté paraît dès lors appropriée. Le jugement entrepris sera réformé sur ce point.</w:t>
      </w:r>
    </w:p>
    <w:p>
      <w:r>
        <w:rPr>
          <w:b/>
        </w:rPr>
        <w:t>E. 5.9</w:t>
      </w:r>
    </w:p>
    <w:p>
      <w:r>
        <w:t>L'amende de CHF 100.-, qui sanctionne la consommation de stupéfiants, est mesurée et a été fixée conformément aux critères légaux, de sorte qu'elle sera maintenue, tout comme la peine privative de liberté de substitution.</w:t>
      </w:r>
    </w:p>
    <w:p>
      <w:r>
        <w:rPr>
          <w:b/>
        </w:rPr>
        <w:t>E. 6</w:t>
      </w:r>
    </w:p>
    <w:p>
      <w:r>
        <w:t>Vu l'issue de la procédure, les conclusions de l'appelant joint tendant à son indemnisation seront rejetées.![endif]&gt;![if&gt;</w:t>
      </w:r>
    </w:p>
    <w:p>
      <w:r>
        <w:rPr>
          <w:b/>
        </w:rPr>
        <w:t>E. 7</w:t>
      </w:r>
    </w:p>
    <w:p>
      <w:r>
        <w:t>L'intimé, qui succombe, supportera les frais de la procédure envers l'Etat, comprenant un émolument de CHF 1'500.- (art. 428 CPP et 14 al. 1 let. e du Règlement fixant le tarif des frais en matière pénale du 22 décembre 2010 [RTFMP ; E 4 10.03]).![endif]&gt;![if&gt;</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saisine.![endif]&gt;![if&gt; 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 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w:t>
      </w:r>
    </w:p>
    <w:p>
      <w:r>
        <w:rPr>
          <w:b/>
        </w:rPr>
        <w:t>E. 8.3</w:t>
      </w:r>
    </w:p>
    <w:p>
      <w:r>
        <w:t>En l'occurrence, considéré dans sa globalité, l'état de frais produit par le défenseur d'office paraît adéquat et conforme aux principes qui précèdent. L'indemnité sera arrêtée à CHF 1'684.80, correspondant à six heures et 30 minutes d'activité au tarif horaire de CHF 200.-, majoration forfaitaire de 20% et équivalent de la TVA au taux de 8% en CHF 124.80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