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P/16312/2016 vom 29. Juni 2018</w:t>
      </w:r>
    </w:p>
    <w:p>
      <w:r>
        <w:t>GE Cour de justice, 2018-06-29, FR</w:t>
      </w:r>
    </w:p>
    <w:p>
      <w:r>
        <w:rPr>
          <w:b/>
        </w:rPr>
        <w:t xml:space="preserve">Quelle: </w:t>
      </w:r>
      <w:r>
        <w:t>https://mcp.opencaselaw.ch/entscheid/ge_gerichte_P_16312_2016</w:t>
      </w:r>
    </w:p>
    <w:p>
      <w:r>
        <w:t>FR: GE_GERICHTE P/16312/2016 du 29 juin 2018</w:t>
      </w:r>
    </w:p>
    <w:p>
      <w:r>
        <w:t>IT: GE_GERICHTE P/16312/2016 del 29 giugno 2018</w:t>
      </w:r>
    </w:p>
    <w:p>
      <w:pPr>
        <w:pStyle w:val="Heading2"/>
      </w:pPr>
      <w:r>
        <w:t>Regeste</w:t>
      </w:r>
    </w:p>
    <w:p>
      <w:r>
        <w:t>LÉSION CORPORELLE PAR NÉGLIGENCE ; DOMMAGE ; ACTION EN DOMMAGES-INTÉRÊTS(EN GÉNÉRAL) ; PLAINTE PÉNALE; RETRAIT(VOIE DE DROIT) ; FRAIS DE LA PROCÉDURE ; INDEMNITÉ(EN GÉNÉRAL) ; CLASSEMENT DE LA PROCÉDURE | CP.125; CP.33.al1; CO.41; CPP.426.al2; CPP.428; CPP.433</w:t>
      </w:r>
    </w:p>
    <w:p>
      <w:pPr>
        <w:pStyle w:val="Heading2"/>
      </w:pPr>
      <w:r>
        <w:t>Erwägungen</w:t>
      </w:r>
    </w:p>
    <w:p>
      <w:r>
        <w:rPr>
          <w:b/>
        </w:rPr>
        <w:t>E. 1.1</w:t>
      </w:r>
    </w:p>
    <w:p>
      <w:r>
        <w:t>L'art. 125 al. 1 CP réprime, sur plainte, le comportement de celui qui, par négligence, aura fait subir à une personne une atteinte – non grave – à l'intégrité corporelle ou à la santé. Elle suppose la réalisation de trois conditions : une négligence, une atteinte à l'intégrité physique et un lien de causalité naturelle et adéquate entre ces deux éléments.</w:t>
      </w:r>
    </w:p>
    <w:p>
      <w:r>
        <w:rPr>
          <w:b/>
        </w:rPr>
        <w:t>E. 1.2</w:t>
      </w:r>
    </w:p>
    <w:p>
      <w:r>
        <w:t>Selon l'art. 41 de la loi fédérale du 30 mars 1911, complétant le Code civil suisse (CO, Code des obligations - RS 220), celui qui cause, d'une manière illicite, un dommage à autrui, soit intentionnellement, soit par négligence ou imprudence, est tenu de le réparer. En cas de lésions corporelles, la partie qui en est victime a droit au remboursement des frais et aux dommages-intérêts qui résultent de son incapacité de travail totale ou partielle, ainsi que de l'atteinte portée à son avenir économique (art. 46 al. 1 CO). Lorsque le demandeur introduit – au civil -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 Un comportement est illicite s'il viole un devoir légal général, soit parce qu'il porte atteinte à un droit absolu du lésé (vie, intégrité corporelle, propriété), soit parce qu'il enfreint une injonction ou interdiction écrite ou non écrite de l'ordre légal destiné à protéger le bien juridique atteint (arrêt du Tribunal fédéral 4C.229/2000 du 27 novembre 2001 consid. 3a, publié in SJ 2002 I p. 253; B. Chappuis, La notion d'illicéité civile à la lumière de l'illicéité pénale, réflexions sur la responsabilité civile du blanchisseur d'argent par négligence , in SJ 2000 II p. 304 et s.). La norme protectrice peut être une norme pénale. Plus précisément, l'infraction pénale constitue un délit civil lorsque la peine prévue tend à la protection des sujets de droit et non exclusivement de l'Etat (ATF 101 Ib 252 consid. 2d).</w:t>
      </w:r>
    </w:p>
    <w:p>
      <w:r>
        <w:rPr>
          <w:b/>
        </w:rPr>
        <w:t>E. 2</w:t>
      </w:r>
    </w:p>
    <w:p>
      <w:r>
        <w:t>2.1. Aux termes de l'art. 33 al. 1 CP, l'ayant droit peut retirer sa plainte tant que le jugement de deuxième instance cantonale n'a pas été prononcé. Conformément à l'art. 33 al. 2 CP, le retrait est irrévocable et définitif (M. DUPUIS / L. MOREILLON [éds], Petit commentaire CP , 2ème édition, Bâle 2017, n.9 ad art. 33 CP ; ci-après : PC CP). Selon l'art. 304 CPP, la plainte doit être déposée auprès de la police, du Ministère Public ou de l'autorité pénale compétente en matière de contraventions, par écrit ou oralement (al. 1). Le retrait de plainte est soumis aux mêmes exigences de forme (al. 2). 2.2.1. Les effets de l'absence ou de l'invalidité de la plainte pénale relèvent également du droit de procédure : selon le Tribunal fédéral et la doctrine, il ne peut y avoir acquittement, mais seulement abandon des poursuites pénales ou ordonnance de classement (PC CP, n. 2 ad art. 30). 2.2.2. Les dispositions de la procédure de première instance s’appliquant par analogie à la procédure de recours (art. 379 CPP), lorsque l’instance de recours constate qu’il existe un empêchement de procéder, la procédure est classée conformément à l’art. 329 al. 4 CPP.</w:t>
      </w:r>
    </w:p>
    <w:p>
      <w:r>
        <w:rPr>
          <w:b/>
        </w:rPr>
        <w:t>E. 3</w:t>
      </w:r>
    </w:p>
    <w:p>
      <w:r>
        <w:t>3.1.1.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ATF 116 Ia 162 consid. 2c p. 168 ; arrêts du Tribunal fédéral 6B_1176/2015 du 23 novembre 2016 consid. 1.1 ; 6B_203/2015 du 16 mars 2016 consid. 1.1 ; 6B_706/2014 du 28 août 2015 consid. 1.1 ; 6B_832/2014 du 24 avril 2015 consid. 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ATF 116 la 162 consid. 2c p. 169 = SJ 1991 27 ; arrêt du Tribunal fédéral 6B_957/2017 du 27 avril 2018, consid. 2.2 et autres arrêts cités).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116 Ia 162 consid. 2c p. 171 ; arrêt du Tribunal fédéral 6B_957/2017 du 27 avril 2018, consid. 2.2 et autres arrêts cités). 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p. 511). Selon le principe de la causalité des frais, le comportement du prévenu doit également être à l'origine des frais pour que ceux-ci puissent lui être imputés, s'il est mis, en particulier, au bénéfice d'une ordonnance de classement (A. KUHN / Y. JEANNERET [éds], Commentaire romand : Code de procédure pénale suisse , Bâle 2011, n. 2 ad art. 426). Le lien de causalité doit être adéquat (A. DONATSCH / T. HANSJAKOB / V. LIEBER [éds], Kommentar zur Schweizerischen Strafprozessordnung (StPO) , 2ème éd., Zurich 2014, n. 15 ad art. 426 ; M. NIGGLI / M. HEER / H. WIPRÄCHTIGER, Schweizerische Strafprozessordnung / Schweizerische Jugendstrafprozessordnung , Basler Kommentar StPO/JStPO, 2ème éd., Bâle 2013, n. 32 ad art. 426). Le juge doit fonder sa condamnation aux frais sur des faits qui ne sont pas contestés ou qui sont établis (ATF 112 Ia 371 consid. 2a in fine p. 374 ; arrêt du Tribunal fédéral 1B.120/2011 du 16 juin 2011 consid. 2.2). Cette condamnation se limitera aux frais que le comportement fautif a entraînés (ATF 116 Ia 162 consid. 2d/bb p. 171 ; arrêt du Tribunal fédéral 6B_215/2009 du 23 juin 2009 consid. 2.6).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du Tribunal fédéral 6B_143/2010 du 22 juin 2010 consid. 3.1 ; 1P.584/2006 du 22 décembre 2006 consid. 9.3 ; 1P.543/2001 du 1er mars 2002 consid. 1.2). Pourtant, il est nécessaire que les circonstances factuelles en cause soient incontestées ou déjà suffisamment prouvées (ATF 115 Ia 309 consid. 1a s. p. 310 s. ; 112 Ia 371 consid. 2a in fine p. 374). 3.1.2. Le Tribunal fédéral a confirmé la mise à la charge des frais de la procédure d'un prévenu qui avait violé l'art. 3 LCD. Il a relevé que les art. 3 à 6 LCD étaient spécifiques à des états de fait civils. Celui qui agissait de façon déloyale était ainsi coupable d'un point de vue de droit civil, quand bien même ces complexes de faits étaient punissables comme des délits poursuivis sur plainte pénale en vertu de l'art. 23 LCD. En retenant que le prévenu était coupable civilement tout en excluant expressément sa culpabilité pénale, la dernière instance cantonale avait respecté la présomption d'innocence, et ce nonobstant le fait que la violation civile de l'art. 3 LCD réalisait en même temps les conditions d'application d'une norme pénale (arrêts du Tribunal fédéral 1P.584/2006 du 22 décembre 2006 consid. 9.3 s. ; 6B_67/2014 du 2 septembre 2014 consid. 2.6.3 et 6B_143/2010 du 22 juin 2010 consid. 3.1). 3.1.3. Selon la jurisprudence, la violation des devoirs du mandataire envers le mandant peut justifier que soient mis à la charge du mandataire les frais afférents à une procédure pénale ouverte contre lui notamment pour escroquerie (arrêts 6B_556/2017 du 15 mars 2018 consid. 2, 6B_893/2016 du 13 janvier 2017 consid. 3.3 et 6B_303/2010 du 3 mai 2010 consid. 3.4). Le mandataire est, aux termes de l'art. 398 al. 2 CO, responsable envers le mandant de la bonne et fidèle exécution du mandat, l'entrepreneur est, en vertu de l'art. 364 al. 1 CO, soumis aux mêmes règles que le travailleur dans les rapports de travail, ce qui implique qu'il doit exécuter avec soin l'ouvrage qui lui est confié et sauvegarder fidèlement les intérêts légitimes du maître (voir art. 321a al. 1 CO); il est en outre responsable envers le maître de la bonne qualité de la matière qu'il fournit (art. 365 al. 1 CO). Enfin, le vendeur est tenu de livrer à l'acheteur la chose vendue (art. 184 al. 1 CO) (arrêt du Tribunal fédéral 6B_795/2017 du 30 mai 2018, consid. 1.2).</w:t>
      </w:r>
    </w:p>
    <w:p>
      <w:r>
        <w:rPr>
          <w:b/>
        </w:rPr>
        <w:t>E. 3.2</w:t>
      </w:r>
    </w:p>
    <w:p>
      <w:r>
        <w:t>. Selon l'art. 428 al. 1 CPP, les frais de la procédure de recours sont mis à la charge des parties dans la mesure où elles ont obtenu gain de cause ou succombé.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Selon l'al. 3, si l'autorité de recours rend elle-même une nouvelle décision, elle se prononce également sur les frais fixés par l'autorité inférieure (arrêt du Tribunal fédéral 6B_136/2016 du 23 janvier 2017 consid. 4.1.2).</w:t>
      </w:r>
    </w:p>
    <w:p>
      <w:r>
        <w:rPr>
          <w:b/>
        </w:rPr>
        <w:t>E. 3.3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S'agissant des prétentions en indemnités dans la procédure d'appel, l'art. 433 al. 1 CPP est également applicable par renvoi de l'art. 436 al. 1 CPP.</w:t>
      </w:r>
    </w:p>
    <w:p>
      <w:r>
        <w:rPr>
          <w:b/>
        </w:rPr>
        <w:t>E. 4</w:t>
      </w:r>
    </w:p>
    <w:p>
      <w:r>
        <w:t>4.1.1. En l’espèce, l'appelante ne remettait à juste titre pas en cause sa culpabilité du chef de lésions corporelles par négligence (art. 125 al. 1 CP), laquelle repose sur les éléments de la procédure. Elle a d'emblée admis que l'incident était la conséquence d'un usage antihoraire de l'instrument en cause, ce qui était une fonction possible du fauteuil auquel il est relié. Elle a néanmoins tenté de prétendre qu'elle ignorait que le fauteuil disposait de cette fonction " reverse ", pourtant présente " en théorie " sur tous les fauteuils, respectivement de reporter sa responsabilité sur d'autres dentistes du cabinet l'ayant précédemment utilisé qui l'auraient laissé dans cette position. Or il appartient bien au médecin dentiste de s'assurer du bon fonctionnement du matériel médical avant d'intervenir dans un endroit aussi sensible que la bouche d'un patient. C'est ainsi à tort que l'appelante ne s'est pas assurée de la rotation horaire de la " gutta condensor " avant d'en faire usage sur la dent de la patiente avec les conséquences dommageables sus-décrites sous lettre B., violant par là-même les règles de la prudence. 4.1.2. L'appelante n'a pas informé la partie plaignante de l'incident qui venait de se produire, pensant justifier cette omission par la grossesse de celle-là. Force est de constater que la procédure de rappel de la patiente dès le 16 novembre 2015 n'était pas suffisante et de nature à ce que celle-ci comprenne la nécessité de contacter son dentiste, non pas pour un contrôle chez l'hygiéniste, ce qui aux dires de l'appelante ressortait du premier appel, mais pour l'extraction d'un corps étranger planté dans la racine de sa dent. C'est en vain que l'appelante a plaidé qu'elle ne pouvait pas obliger sa patiente à revenir. Il apparait davantage qu'elle n'a pas pris toutes les dispositions, jusqu'à la découverte de l'incident une année plus tard, pour en informer sa patiente et remédier aux désagréments causés avant que ne se déclare une infection. Ainsi, quand bien même l'infraction à l'art. 125 al. 1 CP – en raison d'un empêchement de procéder intervenu au stade de l'appel seulement – est classée, il n'en demeure pas moins que le comportement de l'appelante est fautif et constitue une violation du contrat de mandat (ATF 110 II 375 ) la liant à l'intimée. 4.1.3. Ce comportement est à l'origine de la procédure pénale et propre à faire naître, selon le cours ordinaire des choses et l'expérience de la vie, le soupçon d'une infraction justifiant l'ouverture d'une enquête pénale. 4.2.1. Dans la mesure où l'appelante a provoqué illicitement et fautivement l'ouverture de la procédure menée à son encontre, il lui incombe de supporter les frais de première instance tels que fixés par le premier juge, y compris l'émolument complémentaire de jugement. 4.2.2. Pour cette même raison et compte tenu du retrait de plainte intervenu en appel, s'agissant d'une infraction poursuivie sur plainte, et de l'appel formé par la seule prévenue, il se justifie de la condamner aux frais de la procédure d'appel (art. 428 al. 1 CPP et 14 al. 1 let. e du règlement fixant le tarif des frais en matière pénale du 22 décembre 2010 ; E 4 10.03). Il n'y a en effet pas de motif de statuer sans frais, ce qui reviendrait à les laisser entièrement à la charge des contribuables, la procédure d'appel ayant nécessité qu'une certaine activité soit déployée, tant par les greffes du Tribunal de police et de la Cour (transmission du dossier de première instance, constitution du dossier d'appel, attribution et saisie informatique ; réception et transmission de la déclaration d'appel, du mémoire d'appel, des mémoires-réponse et de la réplique ; finalisation et notification du présent arrêt) que les magistrats de la composition (prise de connaissance du dossier suite à sa transmission et attribution ; lecture des écritures des parties ; instructions au greffe ; rédaction et délibération du présent arrêt). Toutefois, exceptionnellement, l'émolument prévu à l'art. 14 let. e du règlement fixant le tarif des frais en matière pénale du 22 décembre 2010 (RTFMP - E 4 10.03) sera arrêté à la somme de CHF 1'500.-. 4.3.1. En l'espèce, la partie plaignante a obtenu gain de cause en première instance dans la mesure où l'appelante a été condamnée pour lésions corporelles par négligence. Le principe et la quotité d'une indemnité fondée sur l'art. 433 CPP lui est donc acquis, ce qui n'est plus remis en cause en appel. 4.3.2. En appel, la partie plaignante renonce à tout octroi de dépens, ce dont il est pris acte.</w:t>
      </w:r>
    </w:p>
    <w:p>
      <w:r>
        <w:rPr>
          <w:b/>
        </w:rPr>
        <w:t>E. 5</w:t>
      </w:r>
    </w:p>
    <w:p>
      <w:r>
        <w:t>Il est pris acte de la renonciation de la prévenue à toute indemnisation fondée sur l'art. 429 CPP, laquelle, vu ce qui précède, ne lui aurait au demeurant pas été accordée.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