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P/16278/2021 vom 24. November 2022</w:t>
      </w:r>
    </w:p>
    <w:p>
      <w:r>
        <w:t>GE Cour de justice, 2022-11-24, FR</w:t>
      </w:r>
    </w:p>
    <w:p>
      <w:r>
        <w:rPr>
          <w:b/>
        </w:rPr>
        <w:t xml:space="preserve">Quelle: </w:t>
      </w:r>
      <w:r>
        <w:t>https://mcp.opencaselaw.ch/entscheid/ge_gerichte_P_16278_2021</w:t>
      </w:r>
    </w:p>
    <w:p>
      <w:r>
        <w:t>FR: GE_GERICHTE P/16278/2021 du 24 novembre 2022</w:t>
      </w:r>
    </w:p>
    <w:p>
      <w:r>
        <w:t>IT: GE_GERICHTE P/16278/2021 del 24 novembre 2022</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(arrêts du Tribunal fédéral 6B_324/2017 du 8 mars 2018 consid. 1.2.2; 6B_862/2015 précité consid. 4.2;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(arrêts du Tribunal fédéral 6B_862/2015 précité consid. 4.2; 6B_905/2010 du 16 juin 2011 consid. 2.3.2). La jurisprudence en a conclu qu'un tel témoin, faute d'avoir pu constater par lui-même un élément constitutif de l'infraction, ne constitue pas à proprement parler un " témoin à charge " (arrêts du Tribunal fédéral 6B_1403/2021 du 9 juin 2022 destiné à la publication consid. 2.4; 6B_862/2015 précité consid. 4.2; 6B_342/2015 du 15 octobre 2015 consid. 6.3).</w:t>
      </w:r>
    </w:p>
    <w:p>
      <w:r>
        <w:rPr>
          <w:b/>
        </w:rPr>
        <w:t>E. 3</w:t>
      </w:r>
    </w:p>
    <w:p>
      <w:r>
        <w:t>3.1.1.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plus récemment arrêt du Tribunal fédéral 6B_1283/2018 du 14 février 2019 consid. 2.1). 3.1.2.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3.1.3. L'infraction est intentionnelle. Le dol éventuel est suffisant (Petit commentaire du Code pénal, N. 12 ad art. 123 CP et références citées). 3.1.4.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 3.2.1. Fin 2018, l'appelant et la lésée ont débuté une relation amoureuse, rapidement devenue conflictuelle, qui a été émaillée par divers épisodes de violence domestique à compter de l'année 2019. La liaison des intéressés a à tout le moins perduré jusqu'au 2 septembre 2021 et n'était ainsi pas terminée depuis plusieurs mois à cette date, contrairement à ce qu'a soutenu l'appelant en dernier lieu après avoir affirmé le contraire en cours de procédure. En atteste également le fait qu'en date du 26 août 2021, la lésée a souscrit, à son propre nom, le raccordement téléphonique qu'utilisait l'appelant le jour de son arrestation, où il lui a par ailleurs demandé de le contacter alors qu'elle se trouvait à l'hôpital. A la police et devant le MP, la lésée a été constante quant au fait qu'elle avait été frappée à plusieurs reprises par l'appelant. Son attitude ambivalente à l'égard de ce dernier en cours de procédure est à l'image de celle qui a été la sienne du temps de leur vie commune, comme l'ont rapporté divers intervenants de G______, et témoigne de sa fragilité psychologique, constatée par ces derniers, de même que de la crainte qu'elle nourrissait à l'égard de l'appelant. Cette ambivalence est toutefois impropre à décrédibiliser ses déclarations quant aux violences subies, lesquelles ont également été rapportées par divers témoins, de manière directe ou indirecte. La quasi-totalité des témoignages recueillis s'accorde en effet sur l'existence de violences domestiques au sein du couple. Selon les confidences faites au témoin U______ par une travailleuse du sexe, dont l'identité n'a pas été dévoilée, elle entendait tous les jours des bruits de coups provenant de l'appartement occupé par la lésée, au point de s'inquiéter pour sa vie. Il ressort par ailleurs du dossier qu'entre 2019 et septembre 2021, les intervenants de G______ étaient soucieux de la situation de la lésée, après avoir constaté qu'elle présentait des blessures et/ou recueilli ses confidences, photographies à l'appui, ainsi que celles de tiers dans le milieu de la prostitution, quant au fait qu'elle était frappée par un individu, dont elle a parfois indiqué expressément qu'il s'agissait de son compagnon, qu'elle a par ailleurs désigné physiquement au témoin R______. Au cours de cette période, la lésée ne s'est en revanche jamais plainte auprès de ces intervenants ou d'autres personnes d'avoir été victime de violences de la part de tiers, de ses clients ou de collègues en particulier. Aucun élément au dossier ne permet par ailleurs d'établir que tel a été ou aurait été le cas. Dans cette mesure, il y a lieu de retenir que l'appelant a effectivement brutalisé à plusieurs reprises la lésée durant leur relation. 3.2.2. La culpabilité de l'appelant pour les faits visés aux paragraphes 1, 3 et 5 à 7 sous chiffre 1.1. est dûment établie. Le témoin S______ a en effet constaté directement, soit encore au travers des photographies, qu'entre 2019 et le 2 septembre 2021, la lésée a présenté diverses lésions sous forme, d'un ou deux yeux "au beurre noir" à plusieurs reprises et de marques de blessures non récentes. Elle était défigurée sur certains clichés, tandis que sur d'autres, elle avait des hématomes, la bouche enflée ou encore les yeux rouges de sang. Ce témoin a en outre confirmé que lors d'un entretien intervenu entre août et septembre 2019, la lésée avait " les yeux explosés" en raison d'une fracture du nez, ce que le témoin T______, qui a fait état d'une fracture impressionnante du nez antérieure à 2020, a confirmé. Cette dernière a aussi constaté à plusieurs reprises que la lésée présentait des marques sur le corps. Elle l'avait en outre vue à une reprise, en compagnie de son collègue U______, le visage couvert de blessures, dont en particulier d'un énorme hématome, ce que ce dernier a confirmé, ajoutant que la lésée avait un nez "bleu et gonflé" au début d'année 2021 et, au début de l'été de cette même année, qu'elle était défigurée, avait une grosse bosse sur le visage et le nez complètement cassée, lésions qui sont compatibles avec les confidences recueillies par le témoin R______ le 21 ou 22 juin 2021. Les événements du 2 septembre 2021 sont établis, par les images de vidéosurveillance et les déclarations des protagonistes, dont il ressort que l'appelant a poussé de la main la lésée, qui a été projetée de l'autre côté du trottoir et a chuté dans l'espace réservé au stationnement des deux roues, geste manifestement à l'origine des blessures dont elle a souffert sous forme de trois plaies linéaires de l'arcade sourcilière gauche, ayant nécessité la pose de points de suture, ainsi que de multiples macules érythémateuses bleutées à l'avant-bras droit. Il s'ensuit que les faits décrits aux paragraphes 1, 3 et 5 à 7 sous chiffre 1.1. de l'acte d'accusation et les lésions y relatives, peuvent être imputés à l'appelant. Les blessures de la lésée sont constitutives de lésions corporelles simples d'un point de vue juridique, vu leur ampleur et leur gravité. L'appelant a agi intentionnellement, dès lors qu'il savait pertinemment qu'en frappant la lésée, en particulier au visage, et en la faisant chuter au sol, il était susceptible de lui occasionner des blessures du type de celles qui ont été constatées. 3.2.3. L'appelant invoque avoir agi en état de légitime défense lors des événements du 2 septembre 2021, argument qui ne résiste pas à la critique. En effet, les deux protagonistes s'accordent à dire que le jour en question, une dispute, dont ils étaient coutumiers, a surgi entre eux, en raison de la jalousie de la lésée et alors qu'ils étaient tous deux alcoolisés. Tout au long de la procédure, l'appelant a affirmé avoir poussé la lésée afin de s'en défaire, parce qu'il souhaitait qu'elle le laisse tranquille, et non en raison du fait qu'elle s'apprêtait à l'attaquer, ou l'avait concrètement fait. Contrairement à ce qui a été rapporté par le témoin O______, la lésée avait les mains vides, à l'exception d'un téléphone portable, lorsque l'appelant l'a poussée d'un geste de la main, et non du pied, et a ainsi occasionné sa chute sur la chaussée, dans l'espace réservé au stationnement des deux roues, et les lésions en résultant. Ainsi, vu la dispute en cours entre les protagonistes et en l'absence d'attaque imminente ou en cours de la lésée, l'appelant ne saurait prétendre avoir agi en état de légitime défense. 3.2.4. L'épisode décrit dans l'acte d'accusation au cours desquels la lésée aurait reçu des coups sur les côtes (paragraphe 4), de même que celui relatif aux brûlures de cigarette au niveau du haut de la poitrine (paragraphe 2), contestés par l'appelant, reposent sur les seules déclarations de l'intéressée. Aucun témoin n'a rapporté avoir recueilli de confidences de la lésée dans ce sens et les lésions qu'elle a décrites sur le haut de la poitrine et ainsi que les douleurs aux côtes, n'ont pas davantage été constatées visuellement, ni attestées médicalement. Seules une brûlure à la main et des marques épithéliales au niveau du décolleté, non liées à une agression physique selon les dires de la lésée, ont été vues par le témoin Q______, à laquelle cette dernière a pourtant confié avoir été frappée par l'appelant. En l'absence d'éléments probants au dossier autre que les déclarations, même si elles sont crédibles, de la lésée, il existe un doute, qui doit profiter à l'appelant. C'est ainsi à juste titre que le premier juge, dont le jugement sera confirmé sur ce point, a acquitté l'appelant pour les faits visés aux paragraphes 2 et 4 sous chiffre 1.1. de l'acte d'accusation. 3.2.5. L'appelant sera ainsi reconnu coupable de lésions corporelles simples qualifiées au sens de l'art. 123 ch. 1 et ch. 2 al. 6 CP pour les faits visés aux paragraphes 1, 3 et 5 à 7 sous chiffre 1.1. de l'acte d'accusation, son acquittement pour ceux visés aux paragraphes 2 et 4 étant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 cadre de l'art. 47 CP, le juge peut prendre en compte à titre d'antécédents des actes punissables qui n'ont pas (encore) été punis, pour autant que les faits soient établis (cf. arrêts du Tribunal fédéral 6B_1457/2020 du 15 avril 2021 consid. 1.4). 4.1.3.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Cette disposition ne prévoit aucune exception. Le prononcé d'une peine unique dans le sens d'un examen global de tous les délits à juger n'est pas possible (ATF 145 IV 1 consid. 1.4 ; 144 IV 313 consid. 1.1.2). 4.1.4.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4.2.1. La faute de l'appelant est importante. Il s'en est pris à de multiples reprises à l'intégrité corporelle de sa compagne pendant plus de deux ans, lui infligeant de la sorte de nombreuses blessures d'une gravité certaine. Il a persisté à séjourner illégalement en Suisse, et plus particulièrement à Genève, malgré le fait qu'il se savait démuni de papiers d'identité ainsi que d'autorisation de séjour et en dépit de l'interdiction de pénétrer sur le territoire genevois prononcée à son encontre le 23 août 2021. Il s'est en outre adonné au trafic de stupéfiants. Les mobiles de l'appelant sont égoïstes. Il a laissé libre cours à son agressivité, est demeuré en Suisse par convenance personnelle et s'est livré au trafic de stupéfiants par appât d'un gain facile. Si la situation personnelle de l'appelant était pour partie précaire au moment des faits, vu son statut administratif irrégulier en Suisse, elle ne saurait justifier son comportement, encore moins à l'égard de la lésée, qui l'hébergeait et le soutenait financièrement. La collaboration de l'appelant a été médiocre. Il a persisté à contester les faits les plus graves, sous réserve des événements du 2 septembre 2021, qu'il pouvait difficilement nier au vu du dossier, pour lesquels il a finalement invoqué avoir agi en état de légitime défense. Il n'a manifestement pas pris conscience de la gravité de ses agissements, en particulier à l'égard de la lésée, qu'il n'a eu de cesse d'accabler et de rendre responsable de son comportement. Il ne lui a pas présenté d'excuse et, d'une manière générale, n'a manifesté aucun repentir ni volonté de s'amender. Les antécédents de l'appelant sont mauvais et spécifiques en matière de LEI et de LStup, ce qui ne l'a toutefois pas dissuadé de récidiver. 4.2.2. Pour des motifs de prévention générale et spéciale, seule une peine privative de liberté est susceptible d'entrer en considération pour sanctionner les infractions commises par l'appelant. Il y a concours d'infractions, ce qui justifie une augmentation de la peine dans une juste proportion. L'infraction de lésions corporelles simples est abstraitement la plus grave, ce qui doit conduire à prononcer, en tenant compte des éléments à charge et à décharge, une peine de base de six mois, les différents épisodes de violence devant être traités comme un tout, eu égard à leur récurrence au sein du couple. Par le jeu du concours, il convient ensuite de l'aggraver d'un mois et demi supplémentaire pour l'infraction à l'art. 19 al. 1 let. c LStup (peine théorique : deux mois et demi), d'un mois supplémentaire pour l'infraction à l'art. 115 al. 1 let. b LEI (peine théorique : deux mois) et de 15 jours supplémentaires pour l'infraction à l'art, 119 al. 1 LEI (peine théorique : un mois). La peine privative de liberté sera ainsi fixée à neuf mois, sous déduction de la détention avant jugement, et le jugement entrepris réformé dans ce sens. 4.2.3. Au vu de l'absence de prise de conscience de l'appelant de la gravité de ses agissements, de ses antécédents, dont certains spécifiques, du manque de changement notable dans sa situation personnelle et de perspective concrète dans ce sens, dès lors que ses projets de mariage avec W______ ne sont nullement documentés et qu'aucun élément au dossier ne permet de retenir que sa situation administrative pourrait être régularisée à court terme, seul un pronostic défavorable peut être posé quant à son comportement futur. L'appelant ne saurait prétendre au bénéfice du sursis. Le jugement entrepris sera réformé en ce sens que c'est une peine ferme qui sera infligée à l'appelant. 4.2.4. Le sursis octroyé le 30 mars 2017 ne sera pas révoqué, cette mesure n'apparaissant pas nécessaire pour dissuader l'appelant de récidiver vu la peine ferme prononcée (art. 46 al. 2 CP).</w:t>
      </w:r>
    </w:p>
    <w:p>
      <w:r>
        <w:rPr>
          <w:b/>
        </w:rPr>
        <w:t>E. 5</w:t>
      </w:r>
    </w:p>
    <w:p>
      <w:r>
        <w:t>5.1.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5.2.1. L'appelant, qui est né et a grandi à l'étranger, est arrivé en Suisse à l'âge de 18 ans. Depuis plusieurs années, il séjourne sur le territoire helvétique en dépit d'une situation administrative irrégulière. Il n'a jamais travaillé en Suisse, pays dans lequel il n'a ni famille, ni attache sérieuse. Comme déjà indiqué, ses projets de mariage avec W______ ne sont nullement documentés et aucun élément au dossier ne permet de retenir que sa situation administrative pourrait être régularisée à court terme. Aucun motif, d'ordre familial ou médical, ne fait obstacle au retour de l'appelant dans son pays d'origine, où vit une partie de sa famille. L'appelant a par ailleurs été condamné à plusieurs reprises, ce qui n'a pas eu pour effet de le dissuader de récidiver. Par son mode de vie, il constitue une menace pour l'ordre public suisse. Il s'ensuit que l'intérêt public de la Suisse à l'expulsion du prévenu prime son intérêt privé à demeurer sur le territoire. Le jugement de premier instance, qui prononce l'expulsion de Suisse de l'appelant pour une durée de cinq ans, proportionnée en regard des circonstances, sera dès lors confirmé. 5.2.2. Le principe de proportionnalité fait en revanche obstacle à l'extension de la mesure d'expulsion à l'ensemble de l'espace Schengen, vu la quotité de la peine prononcée et le fait qu'il s'agit d'une expulsion facultative. L'appel sera admis sur ce point et le jugement du Tribunal de police sera réformé dans ce sens.</w:t>
      </w:r>
    </w:p>
    <w:p>
      <w:r>
        <w:rPr>
          <w:b/>
        </w:rPr>
        <w:t>E. 6</w:t>
      </w:r>
    </w:p>
    <w:p>
      <w:r>
        <w:t>6.1. Aux termes de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Selon le second alinéa de cette disposition, par l’interdiction de contact ou l’interdiction géographique, le juge peut notamment interdire à l’auteur de prendre contact, directement ou par l’intermédiaire d’un tiers, avec une ou plusieurs personnes déterminées ou des membres d’un groupe déterminé, notamment par téléphone, par écrit ou par voie électronique (let. a), ainsi que d’approcher une personne déterminée ou d’accéder à un périmètre déterminé autour de son logement (let. b).</w:t>
      </w:r>
    </w:p>
    <w:p>
      <w:r>
        <w:rPr>
          <w:b/>
        </w:rPr>
        <w:t>E. 6.2</w:t>
      </w:r>
    </w:p>
    <w:p>
      <w:r>
        <w:t>L'appelant s'en est pris à l'intégrité corporelle de la lésée dans un contexte de violences domestiques récurrentes, de sorte que le prononcé d'une interdiction de contact et géographique pourrait prima facie apparaître justifiée. C'est toutefois oublier que c'est en premier lieu la lésée qui a constamment cherché à entrer en contact avec lui, y compris durant sa détention, et non l'inverse, ainsi que cela ressort de la pléthore de messages qu'elle lui a adressés sur son raccordement téléphonique, ainsi que des nombreux courriers, censurés, qu'elle a tenté de lui faire parvenir à [la prison] Z______. Compte tenu de l'attitude de la lésée, le prononcé des interdictions susmentionnées n'est pas propre à atteindre le but de protection visé, de sorte que le jugement de première instance sera réformé sur ce point.</w:t>
      </w:r>
    </w:p>
    <w:p>
      <w:r>
        <w:rPr>
          <w:b/>
        </w:rPr>
        <w:t>E. 7</w:t>
      </w:r>
    </w:p>
    <w:p>
      <w:r>
        <w:t>L'appelant ayant été libéré depuis le prononcé du jugement de première instance, il n'y a pas lieu de statuer sur son maintien en détention pour des motifs de sûretés.</w:t>
      </w:r>
    </w:p>
    <w:p>
      <w:r>
        <w:rPr>
          <w:b/>
        </w:rPr>
        <w:t>E. 8</w:t>
      </w:r>
    </w:p>
    <w:p>
      <w:r>
        <w:t>Vu l'issue de l'appel, l'appelant sera débouté de ses conclusions en indemnisation (art. 429 al. 1 CPP a contrario).</w:t>
      </w:r>
    </w:p>
    <w:p>
      <w:r>
        <w:rPr>
          <w:b/>
        </w:rPr>
        <w:t>E. 9</w:t>
      </w:r>
    </w:p>
    <w:p>
      <w:r>
        <w:t>Le sort des objets saisis n'ayant pas été contesté en appel, le MP ayant retiré sa conclusion sur ce point, le jugement de première instance sera confirmé sur ce point.</w:t>
      </w:r>
    </w:p>
    <w:p>
      <w:r>
        <w:rPr>
          <w:b/>
        </w:rPr>
        <w:t>E. 10</w:t>
      </w:r>
    </w:p>
    <w:p>
      <w:r>
        <w:t>L'appelant, qui succombe en grande partie, supportera 90 % des frais de la procédure envers l'État, dont le solde de 10 % sera laissé à la charge de ce dernier (art. 428 CPP).</w:t>
      </w:r>
    </w:p>
    <w:p>
      <w:r>
        <w:rPr>
          <w:b/>
        </w:rPr>
        <w:t>E. 11</w:t>
      </w:r>
    </w:p>
    <w:p>
      <w:r>
        <w:t>11.1.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11.2</w:t>
      </w:r>
    </w:p>
    <w:p>
      <w:r>
        <w:t>M e B______, défenseure d'office de A______ n'a pas déposé d'état de frais, bien qu'ayant été dûment invitée à le faire. Son activité sera ainsi indemnisée en équité et la rémunération sera arrêtée à CHF 1'163.20 correspondant à quatre heures et 30 minutes d'activité au tarif de CHF 200.-/heure pour la rédaction du mémoire d'appel et du mémoire de réponse, plus la majoration forfaitaire de 20 %, et l'équivalent de la TVA au taux de 7.7% en CHF 83.20.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