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P/16262/2023 vom 17. September 2025</w:t>
      </w:r>
    </w:p>
    <w:p>
      <w:r>
        <w:t>GE Cour de justice, 2025-09-17, FR</w:t>
      </w:r>
    </w:p>
    <w:p>
      <w:r>
        <w:rPr>
          <w:b/>
        </w:rPr>
        <w:t xml:space="preserve">Quelle: </w:t>
      </w:r>
      <w:r>
        <w:t>https://mcp.opencaselaw.ch/entscheid/ge_gerichte_P_16262_2023</w:t>
      </w:r>
    </w:p>
    <w:p>
      <w:r>
        <w:t>FR: GE_GERICHTE P/16262/2023 du 17 septembre 2025</w:t>
      </w:r>
    </w:p>
    <w:p>
      <w:r>
        <w:t>IT: GE_GERICHTE P/16262/2023 del 17 settembre 2025</w:t>
      </w:r>
    </w:p>
    <w:p>
      <w:pPr>
        <w:pStyle w:val="Heading2"/>
      </w:pPr>
      <w:r>
        <w:t>Regeste</w:t>
      </w:r>
    </w:p>
    <w:p>
      <w:r>
        <w:t>TENTATIVE(DROIT PÉNAL);LÉSION CORPORELLE GRAVE | CP.22 cum 122</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Dans un premier grief, l'appelant reproche au premier juge d'avoir " substitu [é] un autre objet " au cutter " pour justifier une condamnation ", ce qui contrevenait au principe de l'immutabilité de l'acte d'accusation. L'art. 9 CPP, lequel consacre la maxime d'accusation, prévoit qu'une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La description des faits reprochés dans l'acte d'accusation, qui doit être la plus brève possible (art. 325 al. 1 let. f CPP), contient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w:t>
      </w:r>
    </w:p>
    <w:p>
      <w:r>
        <w:rPr>
          <w:b/>
        </w:rPr>
        <w:t>E. 2.2</w:t>
      </w:r>
    </w:p>
    <w:p>
      <w:r>
        <w:t>En l'occurrence, il faut tout d'abord relever que, contrairement à ce que l'appelant affirme, le premier juge n'a pas écarté l'utilisation du cutter, expliquant que l'absence de matériel génétique exploitable " n'exclu [ai] t pas pour autant l'usage de ce cutter dans le cadre des faits, sans compter qu'il rest [ait] aussi possible qu'un autre objet contondant, qui n'a [vait] pas été retrouvé, ait été employé, au vu des blessures susmentionnées et de la vidéo produite " (cf. jugement TP, p. 13). Le premier juge est, par ailleurs, resté dans le cadre posé par l'acte d'accusation, lequel contient non seulement les faits correspondant à tous les éléments constitutifs de l'infraction reprochée (répondant de cette manière aux exigences de l'art. 325 al. 1 CPP), mais également la mention d'un " objet contondant ". Dès lors que l'appelant ne pouvait avoir de doutes sur le comportement qui lui était reproché et pouvait se défendre utilement – peu importe l'objet précisément utilisé –, le grief tiré d'une violation de la maxime accusatoire est infondé.</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dispose d'un large pouvoir dans l'appréciation des preuves (ATF 120 Ia 31 consid. 4b). 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de " parole contre parole ",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(ATF 137 IV 122 consid. 3.3 ; arrêts du Tribunal fédéral 6B_922/2022 du 21 avril 2023 consid. 1.2 ; 6B_720/2022 du 9 mars 2023 consid. 1.1 ; 6B_497/2022 du 23 décembre 2022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3.2.1. En l'espèce, il est établi, sur la base des déclarations concordantes des parties sur ce point, que le 26 juillet 2023 vers 08h00, l'appelant a porté un coup à l'appelant joint. 3.2.2. Les déclarations des parties divergent quant à la description des circonstances de l'agression, l'élément utilisé et les lésions entraînées. Si l'appelant joint a réfuté toute forme de provocation, l'appelant a, quant à lui, rapporté avoir été " touché vers le visage ". L'appelant a, par la suite, accentué ses propos en indiquant que l'appelant joint avait commencé à donner des ordres à son épouse, l'avait tiré par le col et l'avait insulté, avant d'atténuer ses déclarations en ne mentionnant ni insultes ni une quelconque forme de violence physique de la part de l'appelant joint devant le premier juge. Il ne saurait, dans ces circonstances, être retenu à l'encontre de l'appelant joint une quelconque attitude agressive. Tandis que l'appelant joint a, par ailleurs, soutenu que le coup avait été infligé depuis l'arrière, l'appelant a, quant à lui, affirmé avoir été suivi par l'appelant joint, s'être retourné et lui avoir donné un coup de poing. Il a, ensuite, relaté, de manière incohérente, que l'appelant joint " se trouvait dos à lui ". Alors que l'appelant avait initialement admis avoir asséné un coup au visage de l'appelant joint, il a, par la suite, adapté son récit en expliquant avoir dirigé son coup sur le " haut du corps " (cf. pv MP, p. 2), prétextant ne pas avoir visé une partie du corps en particulier (cf. pv MP, p. 3). Outre ces variations, la version de l'appelant diffère également de celle de l'appelant joint en ce que le premier a contesté avoir utilisé un objet dans le cadre de l'altercation, invoquant à l'appui de ses dires une supposée marque rouge à son pouce droit. Or, contrairement à ce qu'il affirme, une telle marque n'a jamais été constatée par la police. Par un exposé dénué de vraisemblance, il a réfuté l'utilisation d'un objet, reconnaissant néanmoins ne pas s'en souvenir. Afin de corroborer sa version des faits, l'appelant a aussi émis l'hypothèse que ses ongles avaient pénétré la peau de l'appelant, considérant toutefois que les blessures occasionnées ne pouvaient pas être provoquées par son coup. Enfin, tant H______ que G______ ont confirmé avoir vu C______ le visage ensanglanté. Il n'est de surcroît pas possible que l'appelant ne s'en soit pas aperçu, quoi qu'il prétende. Il est en effet directement en face du blessé sur la vidéo figurant au dossier. 3.2.3. Sa version des faits est contredite tant par les déclarations de l'appelant joint que par les éléments matériels au dossier. Les déclarations de l'appelant joint ont été constantes et cohérentes, depuis le début de la procédure. Il a toujours soutenu avoir reçu, depuis l'arrière, un violent coup de la main droite de l'appelant au niveau de son front au moyen d'un objet métallique. S'il a, dans un premier temps, indiqué que cet objet disposait de deux pointes, avant de ne pouvoir l'identifier, il a justifié cette divergence de récit par le fait qu'il avait du sang qui coulait sur son visage. Au-delà de la crédibilité des déclarations de l'appelant joint, des preuves matérielles au dossier corroborent sa version des faits quant à l'utilisation d'un objet, notamment la vidéo " conflit 3 " et les captures d'écran qui en découlent (l'appelant ayant confirmé que la capture d'écran en pièce A-19, sur laquelle on le voit tenir un objet, a été réalisée à la suite du coup). Si l'appelant a, d'abord, expliqué qu'il s'agissait peut-être d'une clé, pour ensuite exposer qu'il avait possiblement une torche bleue mesurant 15 cm entre les mains, il semble s'être ravisé devant le premier juge. A défaut d'aveux et quand bien même " l'objet visible sur la vidéo produite par Mme H______ n'a jamais pu être formellement identifié comme étant un cutter " (cf. mémoire d'appel, p. 14 § 48), il n'en demeure pas moins que l'appelant tenait un objet. Quel que soit ce dernier – étant précisé que le premier juge a relevé qu'il était possible qu'un autre objet contondant, qui n'avait pas été retrouvé, ait été employé (cf. jugement, p.13) –, la problématique principale demeure l'éventuel usage d'un objet, lequel est corroboré par les images de la vidéo " conflit 3 ". Ainsi, le fait qu'il n'ait pas été retrouvé de traces génétiques sur le cutter saisi, qu'aucun témoin n'ait vu de cutter après l'altercation ou encore que la blessure subie ne " présente [rait] pas les caractéristiques typiques d'un coup porté avec un cutter " (cf. mémoire d'appel, p. 17 § 66) (affirmation nullement appuyée par un élément au dossier), n'est pas relevant. Par ailleurs, l'appelant joint a présenté deux plaies ouvertes au front – pour lesquelles l'appelant n'avait pas d'explication à fournir au premier juge quant à leur aspect net –, compatibles avec un coup reçu au moyen d'un objet inconnu selon le constat de lésions traumatiques du 26 juillet 2023. Les blessures subies par l'appelant joint, soit une plaie au-dessus de l'arcade sourcilière droite triangulaire d'environ 5 cm et une plaie au-dessus de l'arcade sourcilière gauche d'environ 3 cm, ayant nécessité 14 points de suture, ne peuvent pas être raisonnablement mises en relation avec un simple coup de poing – même à supposer l'intervention d'ongles – encore moins avec une phalange ou le dos d'un pouce. Il résulte donc, tant des images de la vidéo " conflit 3 " que du constat de lésions traumatiques du 26 juillet 2023, que l'appelant a utilisé un objet pour porter le coup à l'appelant joint. 3.2.4. La CPAR retient ainsi que vers 08h00, l'appelant joint, remontant du garage de la maison, a reçu un coup, par l'arrière, au niveau du front avec un objet contondant, de la main droite de l'appelant, occasionnant les lésions décrites dans le constat médical du même jour.</w:t>
      </w:r>
    </w:p>
    <w:p>
      <w:r>
        <w:rPr>
          <w:b/>
        </w:rPr>
        <w:t>E. 4</w:t>
      </w:r>
    </w:p>
    <w:p>
      <w:r>
        <w:t>Reste à qualifier juridiquement les agissements de l'appelant. 4.1.1. L'art. 122 CP, dans sa teneur en vigueur depuis le 1 er juillet 2023, réprime notamment le comportement de quiconque, intentionnellement : mutile le corps d'une personne, un de ses membres ou un de ses organes importants ou rend ce membre ou cet organe impropre à sa fonction, cause à une personne une incapacité de travail, une infirmité ou une maladie mentale permanentes, ou défigure une personne d'une manière grave et permanente (let. b), ou encore fait subir à une personne toute autre atteinte grave à l'intégrité corporelle ou à la santé physique ou mentale (let. c). 4.1.2. Selon la casuistique relative à la défiguration, une cicatrice qui a bien cicatrisé mais qui reste encore visible, résultant d'une coupure s'étendant de la commissure des lèvres à la base de l'oreille avec une légère altération de l'expression du visage lors du rire, constitue une défiguration grave et durable au sens de l'art. 122 CP (ATF 115 IV 17 consid. 2b). Tel est également le cas d'une longue cicatrice qui s'étend du coin gauche de la bouche jusqu'à la région du cou, sous l'oreille gauche, cicatrisée mais toujours visible après cinq ans, une fois les traitements de chirurgie esthétique terminés (arrêt 6B_71/2012 du 21 juin 2012 consid. 3.3). Peuvent également être assimilées à une défiguration des lésions manifestes de la peau du visage et du cou qui subsistent plus de six ans après une intervention de chirurgie esthétique (arrêts du Tribunal fédéral 6B_907/2021 du 24 novembre 2021 consid. 1.2 ; 6B_115/2009 du 13 août 2009 consid. 5.3). 4.1.3.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4.2.1. Il y a dol éventuel lorsque l'auteur tient pour possible la réalisation de l'infraction et l'accepte au cas où celle-ci se produirait, même s'il ne le souhaite pas (art. 12 al. 2 CP ; ATF 137 IV 1 consid. 4.2.3 ; ATF 133 IV 9 = JdT 2007 I 573 consid. 4.1 ; 131 IV 1 consid. 2.2 ; 130 IV 58 consid. 8.2).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Ainsi, le dol éventuel peut notamment être retenu lorsque la réalisation du résultat devait paraître suffisamment vraisemblable à l'auteur pour que son comportement ne puisse raisonnablement être interprété que comme une acceptation de ce risque (ATF 147 IV 439 consid. 7.3.1 ; 137 IV 1 consid. 4.2.3 ; 134 IV 26 consid. 3.2.2 ; 133 IV 222 consid. 5.3 ; 133 IV 1 consid. 4.1 ; 130 IV 58 consid. 8.4 ; arrêt du Tribunal fédéral 7B_62/2023 du 7 juin 2024 consid. 2.2.2).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 du Tribunal fédéral 6S.127/2007 du 6 juillet 2007 consid. 2.3 – relatif à l'art. 129 CP – avec la jurisprudence et la doctrine citées). 4.2.2.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125 IV 242 consid. 3c ; arrêt du Tribunal fédéral 6B_268/2020 du 6 mai 2020 consid. 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Peuvent aussi constituer des éléments extérieurs révélateurs, les mobiles de l'auteur et la manière dont il a agi (ATF 133 IV 9 consid. 4.1 p. 16 ; arrêt du Tribunal fédéral 6B_268/2020 du 6 mai 2020 consid. 1.3). 4.3.1. Il y a tentative lorsque l'auteur a réalisé tous les éléments subjectifs de l'infraction et manifesté sa décision de la commettre, alors que les éléments objectifs font, en tout ou en partie, défaut (art. 22 al. 1 CP ; ATF 140 IV 150 consid. 3.4). L'équivalence des deux formes de dol – direct et éventuel – s'applique également à la tentative (ATF 122 IV 246 consid. 3a ; arrêt du Tribunal fédéral 6B_1146/2018 du 8 novembre 2019 consid. 4.2). 4.3.2. Même si le résultat n'aboutit qu'à des lésions corporelles simples, la mise en danger créée par les coups portés peut, de manière évidente, dépasser en intensité le résultat intervenu. Peu importe que le résultat ne se soit pas produit, puisque c'est le propre de la tentative, qui suppose la réalisation des éléments subjectifs d'une infraction par opposition aux éléments objectifs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(arrêts du Tribunal fédéral 6B_612/2013 du 8 novembre 2013 consid. 1.3 ; 6B_954/2010 du 10 mars 2011 consid. 3.4 in fine ; A. MACALUSO / L. MOREILLON / N. QUELOZ [éds], Commentaire romand, Code pénal II, vol. II, Partie spéciale : art. 111-392 CP, Bâle 2017, ad art. 122 N 15 ; M. NIGGLI / H. WIPRÄCHTIGER [éds], Basler Kommentar Strafrecht II : Art. 111-392 StGB, 4 ème éd., Bâle 2019, n. 28 ad art. 122). 4.4.1.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4.4.2. Le caractère dangereux d'un objet se détermine en fonction de la façon dont il est utilisé (ATF 111 IV 123 consid. 4 ; 101 IV 285 ).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 L'objet doit être propre à créer un risque de mort ou de lésion corporelle grave au sens de l'art. 122 CP (ATF 101 IV 285 ainsi que les références doctrinales citées par l'arrêt du Tribunal fédéral 6B_590/2014 du 12 mars 2015 consid. 1.3). La notion d'objet dangereux est vague, de sorte que le juge dispose d'un certain pouvoir d'appréciation. À titre d'exemple, le Tribunal fédéral a retenu la qualification d'objet dangereux pour une chope de bière lancée à la tête d'autrui (ATF 101 IV 285 ) ou un verre à cocktail d'une dizaine de centimètres (arrêt du Tribunal fédéral 6B_590/2014 du 12 mars 2015 consid. 1.3), mais aussi pour un patin à glace lorsque l'auteur s'en sert pour frapper avec force la jambe d'une personne (ATF 111 IV 123 ).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w:t>
      </w:r>
    </w:p>
    <w:p>
      <w:r>
        <w:rPr>
          <w:b/>
        </w:rPr>
        <w:t>E. 4.5</w:t>
      </w:r>
    </w:p>
    <w:p>
      <w:r>
        <w:t>En l'espèce, les lésions objectivement subies par l'appelant joint correspondent à des lésions corporelles simples (cicatrices permanentes ne revêtant pas un caractère disgracieux au point de le défigurer et ne modifiant pas l'expression du visage). L'impression d'ensemble résultant des clichés n'est pas celle d'un visage fortement abimé ou défiguré, d'autant que les cicatrices se situent dans une zone anatomique soumise aux rides glabellaires. Les cicatrices de l'appelant joint, sans douter de l’impact qu’elles ont pour lui, n'atteignent néanmoins pas la gravité des cas mentionnés par la jurisprudence, étant au surplus relevé que l'incapacité de travail subie n'a été que de courte durée. Le fait de porter un coup au moyen d'un objet contondant au visage est toutefois susceptible d'entraîner de graves lésions, même si celles-ci ne se sont pas réalisées. Il convient dès lors de déterminer si l'appelant avait la volonté de causer des lésions plus importantes, à tout le moins, par dol éventuel, auquel cas la tentative de lésions corporelles graves primerait, en application de la jurisprudence, sur la qualification de lésions corporelles simples qualifiées. En portant un coup au visage de l'appelant joint au moyen d'un objet contondant, l'appelant a envisagé de le défigurer, ce qu'il a accepté. Le résultat ne s'est certes pas produit, seules des cicatrices disgracieuses étant à déplorer, mais l'appelant a néanmoins accepté qu'il pouvait survenir tant la dangerosité du geste adopté (coup porté avec un objet contondant), la partie du corps visée (les blessures sont localisées au front, proches notamment d'organes importants comme les yeux) et la probabilité que le résultat se réalise étaient grands en l’occurrence. Toute personne placée dans une situation similaire pouvait d'ailleurs se rendre compte des lésions corporelles graves susceptibles de se produire d'un coup asséné avec un objet contondant. Les faits doivent ainsi être qualifiés de tentative de lésions corporelles graves au sens des art. 22 cum 122 CP.</w:t>
      </w:r>
    </w:p>
    <w:p>
      <w:r>
        <w:rPr>
          <w:b/>
        </w:rPr>
        <w:t>E. 4.6</w:t>
      </w:r>
    </w:p>
    <w:p>
      <w:r>
        <w:t>Partant, la condamnation de l'appelant pour tentative de lésions corporelles graves par le TP ne prête pas le flanc à la critique et sera confirmée.</w:t>
      </w:r>
    </w:p>
    <w:p>
      <w:r>
        <w:rPr>
          <w:b/>
        </w:rPr>
        <w:t>E. 5.1</w:t>
      </w:r>
    </w:p>
    <w:p>
      <w:r>
        <w:t>L'infraction de lésions corporelles graves est punie d'une peine privative de liberté d'un à dix ans.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5.3.1. Le juge atténue la peine si l'auteur a agi dans une détresse profonde (art. 48 let. a ch. 2 CP). Il y a détresse profonde au sens de l'art. 48 let. a ch. 2 CP lorsque l'auteur est poussé à transgresser la loi pénale par une situation proche de l'état de nécessité, c'est-à-dire que, sous la pression d'une détresse particulièrement grave, il croit ne pouvoir trouver d'autre issue que la commission de l'infraction. La détresse peut être de nature matérielle ou morale ; le fait qu'elle résulte d'une faute ou d'une négligence de l'auteur de l'infraction ne suffit pas à exclure l'application de cette disposition. Le bénéfice de cette circonstance atténuante ne peut en outre être accordé que si l'auteur a respecté une certaine proportionnalité entre les motifs qui le poussent à agir et l'importance du bien qu'il lèse (ATF 147 IV 249 consid. 2.1 ; arrêt du Tribunal fédéral 6B_1431/2020 du 8 juillet 2021 consid. 4.2). 5.3.2. Le juge peut également atténuer la peine si l'auteur a agi en proie à une émotion violente que les circonstances rendent excusables ou s'il a agi dans un état de profond désarroi (art. 48 let. c CP).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147 IV 249 consid. 2.2 ; 119 IV 202 consid. 2a ; arrêt du Tribunal fédéral 6B_443/2020 du 11 juin 2020 consid. 1.2.1). Cet état doit être rendu excusable par les circonstances. Il doit s'agir de circonstances dramatiques, dues principalement à des causes échappant à la volonté de l'auteur et qui s'imposent à lui, lequel ne doit pas être responsable ou principalement responsable de la situation conflictuelle qui le provoque. Il doit par ailleurs s'agir de circonstances objectives, de sorte qu'il faut se demander si un tiers raisonnable, placé dans la même situation que l'auteur, se serait trouvé dans le même état. Enfin, il faut qu'il existe une certaine proportionnalité entre la provocation, d'une part, et la réaction de l'auteur, d'autre part (ATF 147 IV 249 consid. 2.3 ; 147 IV 249 consid. 2.2 ; arrêt 6B_443/2020 précité). Le profond désarroi vise en revanche un état d'émotion qui mûrit progressivement pendant une longue période, qui couve pendant longtemps jusqu'à ce que l'auteur soit complètement désespéré et ne voie d'autre issue que d'agir ainsi qu'il le fait, et qui est rendu excusable par les circonstances. Le plus souvent, il est rendu excusable par le comportement blâmable de la victime à l'égard de l'auteur, mais il peut aussi l'être par le comportement d'un tiers ou par des circonstances objectives. Il faut procéder à une appréciation objective de la cause de cet état et se demander si un tiers raisonnable, placé dans la même situation que l'auteur, se serait trouvé dans le même état (ATF 147 IV 249 consid. 2.3 ; arrêts du Tribunal fédéral 6B_1317/2022 , 6B_1348/2022 du 27 avril 2023 consid. 5.2 ; 6B_1431/2020 du 8 juillet 2021 consid. 4.3). 5.3.3. Selon l'art. 48 let. d CP, le juge peut aussi atténuer la peine si l'auteur a manifesté par des actes un repentir sincère, notamment s'il a réparé le dommage autant qu'on pouvait l'attendre de lui. Le seul fait qu'un délinquant ait passé des aveux ou manifesté des remords ne suffit pas (arrêt du Tribunal fédéral 6B_151/2022 du 10 novembre 2022 consid. 3.1.1).</w:t>
      </w:r>
    </w:p>
    <w:p>
      <w:r>
        <w:rPr>
          <w:b/>
        </w:rPr>
        <w:t>E. 5.4</w:t>
      </w:r>
    </w:p>
    <w:p>
      <w:r>
        <w:t>Enfin, en cas de tentative, le juge peut atténuer la peine (art. 22 al. 1 CP). S'il n'a pas l'obligation de sortir du cadre légal, il doit tenir compte de l'absence de résultat dommageable, comme élément à décharge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5.5.1. Aux termes de l'art. 42 al. 1 CP, le juge suspend en règle générale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5.5.2. Si le juge suspend totalement ou partiellement l'exécution d'une peine, il impartit au condamné un délai d'épreuve de deux à cinq ans (art. 44 al. 1 CP).</w:t>
      </w:r>
    </w:p>
    <w:p>
      <w:r>
        <w:rPr>
          <w:b/>
        </w:rPr>
        <w:t>E. 5.6</w:t>
      </w:r>
    </w:p>
    <w:p>
      <w:r>
        <w:t>Le juge impute sur la peine la détention avant jugement subie par l’auteur dans le cadre de l’affaire qui vient d’être jugée ou d’une autre procédure (art. 51 CP).</w:t>
      </w:r>
    </w:p>
    <w:p>
      <w:r>
        <w:rPr>
          <w:b/>
        </w:rPr>
        <w:t>E. 5.7</w:t>
      </w:r>
    </w:p>
    <w:p>
      <w:r>
        <w:t>En l'espèce, la faute de l'appelant est importante. Il s'en est pris à l'intégrité corporelle d'un individu qu'il avait simplement croisé auparavant. Il n'a pas hésité à le frapper au visage avec un objet. Sa collaboration à la procédure est mauvaise. S'il a concédé avoir eu une altercation physique avec l'appelant joint, il a toujours contesté avoir utilisé un objet contondant, même mis face aux images vidéo ou au constat de lésions traumatiques. Il a toujours tenté de minimiser sa responsabilité dans les faits litigieux, allant jusqu'à invoquer une planification de la venue de l'appelant joint trois jours avant l'évènement incriminé, lequel aurait été utilisé comme un " hameçon ". Bien qu'ayant exprimé des regrets vis-à-vis de l'appelant joint, sa prise de conscience est inexistante puisqu'il persiste, en appel, encore à contester les faits. Sa situation personnelle n'explique ni ne justifie ses actes, bien qu'il soit impliqué dans un conflit de voisinage avec sa belle-mère, étant relevé que l'appelant joint n'est pas concerné par ce différend. L'appelant n'a pas d'antécédent, facteur neutre sur la peine.</w:t>
      </w:r>
    </w:p>
    <w:p>
      <w:r>
        <w:rPr>
          <w:b/>
        </w:rPr>
        <w:t>E. 5.8</w:t>
      </w:r>
    </w:p>
    <w:p>
      <w:r>
        <w:t>Aucun motif d'atténuation de la peine au sens de l'art. 48 CP n'entre en revanche en ligne de compte.</w:t>
      </w:r>
    </w:p>
    <w:p>
      <w:r>
        <w:rPr>
          <w:b/>
        </w:rPr>
        <w:t>E. 5.8.1</w:t>
      </w:r>
    </w:p>
    <w:p>
      <w:r>
        <w:t>Si la CPAR ne doute pas que l'appelant a été affecté par le conflit qui l'oppose à sa belle-mère, il n'apparaît pas qu'il se trouvait dans une détresse telle qu'elle l'obligeait à transgresser la loi pénale, sans compter qu'il pouvait simplement rentrer chez lui dans l'attente de l'intervention de la police. Au demeurant, il y a disproportion entre les motifs allégués (provocation, détresse morale) qui l'ont conduit à agir de la sorte et l'importance du bien juridique lésé, étant relevé qu'il n'est pas établi que le plaignant aurait adopté une " attitude intrusive " et donné des ordres à l'épouse de l'appelant, le contraire semblant plutôt ressortir de la vidéo (présence dans la maison quelques secondes avant l'altercation, supra d.b.).</w:t>
      </w:r>
    </w:p>
    <w:p>
      <w:r>
        <w:rPr>
          <w:b/>
        </w:rPr>
        <w:t>E. 5.8.2</w:t>
      </w:r>
    </w:p>
    <w:p>
      <w:r>
        <w:t>L'appelant ne saurait être mis au bénéfice de l'atténuante de l'émotion violente. Le comportement de l'appelant joint n'était en effet certainement pas propre à causer une émotion telle que la réaction colérique de l'appelant serait compréhensible. Il en va de même pour le profond désarroi, puisque, quand bien même un conflit l'opposait à sa belle-famille voisine, rien, dans l'attitude de celle-ci le jour des faits, ne justifiait qu'il s'en prenne à l'intégrité physique d'un tiers, fût-il une connaissance de ses voisines.</w:t>
      </w:r>
    </w:p>
    <w:p>
      <w:r>
        <w:rPr>
          <w:b/>
        </w:rPr>
        <w:t>E. 5.8.3</w:t>
      </w:r>
    </w:p>
    <w:p>
      <w:r>
        <w:t>Pour ce qui est du repentir sincère, l'on ne voit pas par quel acte l'appelant l'aurait manifesté, de sorte que les conditions de l'art. 48 let. d CP ne sont pas réalisées.</w:t>
      </w:r>
    </w:p>
    <w:p>
      <w:r>
        <w:rPr>
          <w:b/>
        </w:rPr>
        <w:t>E. 5.8.4</w:t>
      </w:r>
    </w:p>
    <w:p>
      <w:r>
        <w:t>Aucune des autres circonstances prévues par l'art. 48 CP n'est réalisée.</w:t>
      </w:r>
    </w:p>
    <w:p>
      <w:r>
        <w:rPr>
          <w:b/>
        </w:rPr>
        <w:t>E. 5.9</w:t>
      </w:r>
    </w:p>
    <w:p>
      <w:r>
        <w:t>Au vu des éléments qui précèdent et compte tenu de l'infraction pour laquelle l'appelant est reconnu coupable, seule une peine privative de liberté entre en ligne de compte, étant précisé qu'une peine pécuniaire ne pourrait pas être exécutée étant donné les ressources limitées de l'appelant. L'infraction en étant toutefois restée au stade de la tentative, la Cour estime qu'une peine privative de liberté de neuf mois est juste et adéquate. L'octroi du sursis, dont les conditions sont réalisées (art. 42 al. 1 CP), est acquis au prévenu (art. 391 al. 2 CPP). La durée du délai d'épreuve de deux ans, que l'appelant ne conteste au surplus pas et dont la durée correspond au minimum légal, est adéquate et sera également confirmée (art. 44 CP). L'appelant a subi deux jours de détention avant jugement qui seront déduits de la peine (art. 51 CP). Le jugement de première instance sera ainsi modifié.</w:t>
      </w:r>
    </w:p>
    <w:p>
      <w:r>
        <w:rPr>
          <w:b/>
        </w:rPr>
        <w:t>E. 6</w:t>
      </w:r>
    </w:p>
    <w:p>
      <w:r>
        <w:t>L'appelant fait encore grief au TP d'avoir abusé de son pouvoir d'appréciation sous l'angle d'une violation de la bonne foi et l'interdiction de l'arbitraire en relation avec la confiscation et la destruction du cutter. Ce faisant, l'appelant ne prend aucune conclusion formelle en restitution de cet objet, de sorte que la CPAR n'entrera pas en matière sur son grief. La confiscation et la destruction de cet objet dangereux, en tout état justifiées, seront confirmées.</w:t>
      </w:r>
    </w:p>
    <w:p>
      <w:r>
        <w:rPr>
          <w:b/>
        </w:rPr>
        <w:t>E. 7</w:t>
      </w:r>
    </w:p>
    <w:p>
      <w:r>
        <w:t>7.1.1. Conformément à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CPP). 7.1.2.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 cf. Message du 21 décembre 2005 relatif à l'unification du droit de la procédure pénale, FF 2006 1153 ch. 2.3.3.4). L'art. 126 al. 3 CPP autorise cependant le juge, dans le cas où le jugement complet des prétentions civiles exigerait un travail disproportionné, à juger ces prétentions seulement dans leur principe et, pour le surplus, à renvoyer la partie plaignante à agir par la voie civile. Le travail disproportionné s'entend en termes d'administration des preuves et non pas de qualification juridique. Tel est le cas, par exemple, lorsque de longues expertises sont nécessaires pour chiffrer le montant du dommage en cas de lésions corporelles ou que le processus de guérison n'est pas achevé, ou encore lorsqu'il se pourrait que le dommage corporel subi laisse des séquelles (ATF 122 IV 37 consid. 2c ; arrêt du Tribunal fédéral 6B_434/2018 du 12 septembre 2018 consid. 1.1 ; Message du 21 décembre 2005 relatif à l'unification du droit de la procédure pénale, FF 2006 1154). 7.1.3.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(ATF 148 IV 432 consid. 3.1.2 et 3.3 ; 143 IV 495 consid. 2.2.4). 7.1.4. Aux termes de l'art. 47 CO, le juge peut,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7.1.5.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La Chambre pénale d'appel et de révision (CPAR) a notamment octroyé une indemnité de : - CHF 4'000.- pour un homme ayant été victime d'un coup de couteau à l'arrière du bras gauche et de multiples coups de chaîne en métal sur la tête et ayant subi de nombreuses lésions, dont deux plaies à bords nets à l'arrière du bras gauche, ce qui a laissé une cicatrice. Il avait été acheminé à l'hôpital en urgence, où il avait subi une opération et été hospitalisé deux jours. Il avait été mis en arrêt de travail durant deux semaines. Il présentait encore des séquelles psychologiques huit mois après les faits ( AARP/122/2024 du 27 mars 2024 consid. 2.4.2) ; - CHF 5'000.- (avant réduction pour faute concomitante) à un homme ayant reçu cinq coups de couteau portés dans la région dorsale et de l'épaule, ayant nécessité une opération dans la nuit et une hospitalisation de deux jours, sans mise en danger concrète de la vie au vu de sa prise en charge rapide. Outre ses allégations, il ne démontrait pas de souffrance psychologique ou la persistance de ses symptômes ( AARP/122/2025 du 19 mars 2025 consid. 6.8.3.1) ; - CHF 8'000.- à un homme " défiguré ", présentant trois cicatrices au visage, permanentes selon les médecins et des séquelles psychologiques (état de stress post-traumatique, troubles du sommeil et de l'alimentation, anxiété accrue et épuisement émotionnel ainsi que physique généralisé), mais dont la prise en charge avait été courte et qui résidait au Maroc ( AARP/154/2023 du 9 mai 2023 consid. 1.6) ; - CHF 8'000.- à un homme dont le visage a été balafré, qui supportait si mal son état qu'il avait un certain temps laissé pousser sa barbe pour tenter de dissimuler sa cicatrice, et dont l'expression avait été affectée, son œil " tombant " d'où un air fatigué, voire triste ( AARP/469/2016 du 30 septembre 2016 consid 4.2).</w:t>
      </w:r>
    </w:p>
    <w:p>
      <w:r>
        <w:rPr>
          <w:b/>
        </w:rPr>
        <w:t>E. 7.2</w:t>
      </w:r>
    </w:p>
    <w:p>
      <w:r>
        <w:t>En l'espèce, tout comme le premier juge, la CPAR considère qu'elle est à même de statuer, en l'état du dossier, sans renvoyer le plaignant à agir par la voie civile.</w:t>
      </w:r>
    </w:p>
    <w:p>
      <w:r>
        <w:rPr>
          <w:b/>
        </w:rPr>
        <w:t>E. 7.2.1</w:t>
      </w:r>
    </w:p>
    <w:p>
      <w:r>
        <w:t>L'appelant joint a été atteint au visage et, même s'il n'a pas subi une défiguration, les cicatrices ne disparaîtront pas, quand bien même elles pourraient s'atténuer. Cela suffit à justifier le principe d'une indemnité, le fait que ces cicatrices sont situées dans " une zone naturellement marquée par des plis cutanés (rides du lion), ce qui atténue fortement leur visibilité " (cf. mémoire d'appel, p. 25 § 112) ne suffisant pas à l'exclure, d'autant que, comme l'admet l'appelant, une année après l'évènement, sa victime présente encore lesdites cicatrices. Ce n'est pas parce qu'aucun organe vital n'est touché, sans perte fonctionnelle ni incapacité de travail durable, que l'indemnité pour tort moral devrait être refusée. De même, l'absence de préméditation, les regrets et la coopération avec les autorités – selon les dires de l’appelant – (cf. mémoire de réponse, p. 6), ne sauraient plaider contre l'existence de circonstances justifiant une telle réparation.</w:t>
      </w:r>
    </w:p>
    <w:p>
      <w:r>
        <w:rPr>
          <w:b/>
        </w:rPr>
        <w:t>E. 7.2.2</w:t>
      </w:r>
    </w:p>
    <w:p>
      <w:r>
        <w:t>L'appelant joint considère la somme de CHF 8'000.- allouée comme trop faible. Sans que ses souffrances soient remises en cause, il faut déjà relever que ses cicatrices sont moins importantes que dans les cas jurisprudentiels cités (cf. consid. 7.1.5 supra) qui se sont vus allouer le même montant, puisque, bien que visibles, elles ne le défigurent pas et que rien n’indique qu'elles ne lui permettent pas de mener une vie normale, ou qu'elles constitueraient un handicap objectif. Pour le surplus, le certificat médical du 6 septembre 2024 ne permet pas d'établir un lien de causalité entre, d'une part, les troubles ophtalmologiques et les céphalées invalidantes et, d'autre part, l'évènement incriminé, ce certificat semblant se fonder sur les seules affirmations de l'appelant joint et non sur des constatations médicales. Le fait que le certificat médical du 13 octobre 2023, faisant état de troubles de la vision, a été établi quelques semaines après l'agression n'y change rien. Les douleurs hebdomadaires avec prises de médicaments antidouleurs ne sont pas non plus établies par avis médical. Il en est de même de la formation de caillots de sang. L’existence d'une frayeur est plausible, mais elle ne saurait être aussi importante que l’appelant joint le laisse entendre (" retentissement psychologique marqué " [cf. son mémoire de réponse, p. 8]). Il n’a en effet consulté aucun spécialiste à la suite de cet évènement. Aucun élément n'étaye par ailleurs les craintes de représailles qu'il a exprimées.</w:t>
      </w:r>
    </w:p>
    <w:p>
      <w:r>
        <w:rPr>
          <w:b/>
        </w:rPr>
        <w:t>E. 7.3</w:t>
      </w:r>
    </w:p>
    <w:p>
      <w:r>
        <w:t>Au vu de qui précède, une indemnité de CHF 7'000.- apparaît justifiée et prend en compte de manière adéquate les souffrances endurées par le plaignant, son incapacité de travail de courte durée et, surtout, les cicatrices qui marquent la partie supérieure de son visage de façon permanente sans que cela ne constitue une défiguration. Partant, l'appelant sera condamné à verser à la partie plaignante CHF 7'000.- à titre de réparation de son tort moral, avec intérêts à 5% dès le 28 juillet 2023.</w:t>
      </w:r>
    </w:p>
    <w:p>
      <w:r>
        <w:rPr>
          <w:b/>
        </w:rPr>
        <w:t>E. 8</w:t>
      </w:r>
    </w:p>
    <w:p>
      <w:r>
        <w:t>En définitive, l'appel principal sera partiellement admis et l'appel joint rejeté.</w:t>
      </w:r>
    </w:p>
    <w:p>
      <w:r>
        <w:rPr>
          <w:b/>
        </w:rPr>
        <w:t>E. 9</w:t>
      </w:r>
    </w:p>
    <w:p>
      <w:r>
        <w:t>L'appelant, qui obtient partiellement gain de cause, supportera 60% des frais de la procédure d’appel (art. 428 CPP). Le solde sera laissé à la charge de l'État, l'appelant joint plaidant au bénéfice de l'assistance juridique (art. 136 al. 2 let. b CPP). Nonobstant l'admission partielle de l'appel, il n'y a pas lieu de modifier la répartition des frais de la procédure préliminaire et de première instance. En effet, la culpabilité de l'appelant est confirmée.</w:t>
      </w:r>
    </w:p>
    <w:p>
      <w:r>
        <w:rPr>
          <w:b/>
        </w:rPr>
        <w:t>E. 10</w:t>
      </w:r>
    </w:p>
    <w:p>
      <w:r>
        <w:t>10.1.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(arrêt du Tribunal fédéral 6B_1045/2017 du 27 avril 2018 consid. 3.3). Il doit en particulier établir que la procédure a généré une correspondance et un nombre de téléphones particulièrement importants susceptibles d'excéder les heures de travail admises par l'autorité. En règle générale, il suffit que la somme allouée couvre les frais concrètement encourus, ainsi que le temps consacré à cette activité. L'autorité peut ainsi s'éloigner, sans arbitraire, du taux de 20% pour l'indemnisation forfaitaire, dans la mesure où les frais et l'activité sont couverts par un montant inférieur, l'aspect déterminant étant leur couverture (arrêt du Tribunal fédéral 6B_838/2015 du 25 juillet 2016 consid. 3.5.1 et 3.5.2 ; ACPR/481/2024 consid. 4.1.2 ; ACPR/149/2024 consid. 3.3.2 ; ACPR/776/2022 consid. 2.4 ; ACPR/896/2021 consid. 4.1). Le travail consistant en des recherches juridiques, sauf questions particulièrement pointues, n'est pas indemnisé, l'État ne devant pas assumer la charge financière de la formation de l'avocat-stagiaire, laquelle incombe à son maître de stage, ou la formation continue de l'avocat breveté (arrêt AARP/23/2024 du 15 janvier 2024 consid. 5.1.2).</w:t>
      </w:r>
    </w:p>
    <w:p>
      <w:r>
        <w:rPr>
          <w:b/>
        </w:rPr>
        <w:t>E. 10.3</w:t>
      </w:r>
    </w:p>
    <w:p>
      <w:r>
        <w:t>En l'occurrence, il sied de retrancher de l'état de frais produit par le défenseur d'office de l'appelant la durée de 20 minutes consacrée à l'analyse du jugement, de même que le travail sur la déclaration d'appel, laquelle n'a pas à être motivée (six heures et 43 minutes) ou l'examen de la déclaration d'appel joint (30 minutes), dites prestations étant comprises dans le forfait applicable pour l'activité diverse, ainsi que le temps consacré à la rédaction de courriels (30 minutes), à la rédaction de courriers et à leur prise de connaissance (deux heures), à l'examen de courriers (15 minutes) ou de déterminations (six minutes) ou encore à la " revue " de ces derniers (30 minutes). Il sera également relevé qu'il ne revient pas à l'État d'assumer l'éventuelle charge financière de la formation de l'avocat-stagiaire, de sorte que la recherche juridique menée ne sera de toute façon pas couverte par le forfait (54 minutes), de même que les discussions internes (24 minutes) et la " revue " du projet de mémoire de réponse (40 minutes) par le chef d'étude. Le temps de 23 heures (20 heures d'activité de la stagiaire et trois heures du chef d'étude) facturé pour la rédaction de l'appel motivé apparaît excessif, bien que le mémoire fasse 26 pages, étant précisé qu'il comporte notamment sept pages de rappel de faits dans un dossier qui ne comporte pas une grande complexité juridique. Cette activité sera dès lors ramenée à 15 heures d'activité de la stagiaire. En conclusion, la rémunération de M e B______ sera arrêtée à CHF 3'528.60, correspondant à trois heures et 20 minutes d'activité au tarif horaire de CHF 200.- (CHF 666.65) et 20 heures et 55 minutes à celui de CHF 110.- (CHF 2'300.80), plus la majoration forfaitaire de 10% (CHF 296.75), et l'équivalent de la TVA au taux de 8.1% (CHF 264.40).</w:t>
      </w:r>
    </w:p>
    <w:p>
      <w:r>
        <w:rPr>
          <w:b/>
        </w:rPr>
        <w:t>E. 10.4</w:t>
      </w:r>
    </w:p>
    <w:p>
      <w:r>
        <w:t>L'état de frais du conseil juridique gratuit de l'appelant joint appelle également des ajustements. De manière générale, la prise de connaissance d'actes de procédure (45 minutes) est couverte par le forfait, de même que la rédaction de la déclaration d'appel joint (deux heures et 20 minutes). S'agissant de l'état de frais produit, il n'est pas démontré que le dossier aurait été particulièrement complexe ou volumineux, au point de justifier de s'écarter du forfait s'agissant des appels, courriels et courriers. Il n'est, par ailleurs, pas indiqué en quoi le mandat sortirait de l'ordinaire, justifiant une activité de cinq heures et 15 minutes pour un chef d'étude et 40 minutes pour un collaborateur. Une telle activité sera écartée, étant d'ailleurs relevé que l'activité consacrée à la correspondance est quasiment aussi volumineuse que celle consacrée à la procédure (45 minutes pour le chef d'étude et sept heures et 45 minutes pour le collaborateur), ce qui est disproportionné. Les heures retenues seront calculées au tarif du chef d'étude. La rémunération de M e D______ sera partant arrêtée à CHF 1'405.30, correspondant à cinq heures et 25 minutes au tarif de 200.-, plus la majoration forfaitaire de 20%, l'activité globale déployée ne dépassant pas 30 heures, et l'équivalent de la TVA au taux de 8.1% (CHF 105.30).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