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P/16242/2015 vom 23. Mai 2016</w:t>
      </w:r>
    </w:p>
    <w:p>
      <w:r>
        <w:t>GE Cour de justice, 2016-05-23, FR</w:t>
      </w:r>
    </w:p>
    <w:p>
      <w:r>
        <w:rPr>
          <w:b/>
        </w:rPr>
        <w:t xml:space="preserve">Quelle: </w:t>
      </w:r>
      <w:r>
        <w:t>https://mcp.opencaselaw.ch/entscheid/ge_gerichte_P_16242_2015</w:t>
      </w:r>
    </w:p>
    <w:p>
      <w:r>
        <w:t>FR: GE_GERICHTE P/16242/2015 du 23 mai 2016</w:t>
      </w:r>
    </w:p>
    <w:p>
      <w:r>
        <w:t>IT: GE_GERICHTE P/16242/2015 del 23 maggio 2016</w:t>
      </w:r>
    </w:p>
    <w:p>
      <w:pPr>
        <w:pStyle w:val="Heading2"/>
      </w:pPr>
      <w:r>
        <w:t>Regeste</w:t>
      </w:r>
    </w:p>
    <w:p>
      <w:r>
        <w:t>FIXATION DE LA PEINE ; SURSIS À L'EXÉCUTION DE LA PEINE ; RÉVOCATION DU SURSIS ; RÉINTÉGRATION DANS UN ÉTABLISSEMENT ; REPENTIR SINCÈRE ; CONFISCATION(DROIT PÉNAL) | ; .1; .1; .d; ;</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principal ne conteste pas sa culpabilité pour l'ensemble des faits qui lui sont reprochés, sinon pour la durée du séjour illégal. Le verdict de culpabilité sera ainsi confirmé dans la mesure où ses actes sont constitutifs des infractions reprochées.</w:t>
      </w:r>
    </w:p>
    <w:p>
      <w:r>
        <w:rPr>
          <w:b/>
        </w:rPr>
        <w:t>E. 3</w:t>
      </w:r>
    </w:p>
    <w:p>
      <w:r>
        <w:t>L'appelant principal reproche au premier juge le prononcé d'une peine excessive, au contraire de l'appelant joint qui la juge trop clémente.</w:t>
      </w:r>
    </w:p>
    <w:p>
      <w:r>
        <w:rPr>
          <w:b/>
        </w:rPr>
        <w:t>E. 3.1</w:t>
      </w:r>
    </w:p>
    <w:p>
      <w:r>
        <w:t>Selon l'art. 47 du code pénal,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 (ATF 121 IV 202 consid. 2d/aa p. 204 ; 118 IV 342 consid. 2d p. 349).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D'après l'art. 49 al. 1 CP, si, en raison d'un ou de plusieurs actes, l'auteur remplit les conditions de plusieurs peines de même genre, le juge le condamne à la peine de l'infraction la plus grave et l'augmente dans une juste proportion.</w:t>
      </w:r>
    </w:p>
    <w:p>
      <w:r>
        <w:rPr>
          <w:b/>
        </w:rPr>
        <w:t>E. 3.2</w:t>
      </w:r>
    </w:p>
    <w:p>
      <w:r>
        <w:t>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 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3.3.1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 3.3.2 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(cf. art. 46 al. 1 CP). La fixation d'une peine d'ensemble n'entre pas en considération si la peine assortie du sursis révoqué et celle nouvellement prononcée sont du même genre (ATF 134 IV 241 consid. 4 p. 242 ss). La procédure de l'art. 46 al. 1 2 ème phrase CP n'est toutefois pas applicable pour commuer une peine antérieure en une sanction plus sévère. Il est ainsi contraire au droit fédéral de modifier une peine pécuniaire antérieure en une peine privative de liberté pour condamner l'auteur à une peine privative de liberté d'ensemble (ATF 137 IV 249 consid. 3.4.3. p. 254 in JdT 2012 IV 205). 3.3.3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sans pertinence (arrêt du Tribunal fédéral 6B_663/2009 du 19 octobre 2009 consid. 1.2). Selon l'article 89 al. 2 CP, le juge peut renoncer à réintégrer dans l'établissement de détention le détenu libéré conditionnellement ayant commis un nouveau crime ou délit, s'il n'y a pas lieu de craindre que celui-ci commette d'autres infractions.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 e éd., Berne 2006, § 5 n. 95 p. 164). Il en va de même des auteurs du Commentaire bâlois (M. NIGGLI / H. WIPRÄCHTIGER, Basler Kommentar Strafrecht I : Art. 1-110 StGB, Jugendstrafgesetz , 2 e éd.,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 consid. 2.1, 6B_663/2009 du 19 octobre 2009 consid. 1.2 et 6B_303/2007 du 6 décembre 2007 consid. 6). L'art. 89 al.</w:t>
      </w:r>
    </w:p>
    <w:p>
      <w:r>
        <w:rPr>
          <w:b/>
        </w:rPr>
        <w:t>E. 3.4</w:t>
      </w:r>
    </w:p>
    <w:p>
      <w:r>
        <w:t>Le repentir sincère visé à l'art. 48 lit. d CP suppose une prise de conscience du caractère répréhensible de l'infraction et un changement d'état d'esprit sincère du délinquant. Le repentir sincère n'est réalisé que si l'auteur a adopté un comportement particulier, désintéressé et méritoire. (…).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p. 113 s. ; 116 IV 288 consid. 2a p. 289 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l'art. 47 CP.</w:t>
      </w:r>
    </w:p>
    <w:p>
      <w:r>
        <w:rPr>
          <w:b/>
        </w:rPr>
        <w:t>E. 3.5</w:t>
      </w:r>
    </w:p>
    <w:p>
      <w:r>
        <w:t>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 2 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 Selon la jurisprudence,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C'est en particulier le cas lorsque l'obtention des valeurs patrimoniales est un élément objectif ou subjectif de l'infraction ou lorsqu'elle constitue un avantage direct découlant de la commission de l'infraction (ATF 129 IV 453 consid. 4.1 p. 461 ; arrêt du Tribunal fédéral 1B.185/2007 du 30 novembre 2007 consid. 9 ; arrêt du Tribunal fédéral 6S.324/200 du 6 septembre 2000 consid. 5c/bb ; SJ 1999 p. 417 consid. 2a p. 419). La confiscation intervient indépendamment de l'identification de l'auteur et de la punissabilité d'une personne déterminée (ATF 122 IV 91 consid. 3b p. 94 ; ATF 115 IV 175 consid. 1 p. 177 ; arrêt du Tribunal fédéral 1B.185/2007 du 30 novembre 2007 consid. 9).</w:t>
      </w:r>
    </w:p>
    <w:p>
      <w:r>
        <w:rPr>
          <w:b/>
        </w:rPr>
        <w:t>E. 3.6</w:t>
      </w:r>
    </w:p>
    <w:p>
      <w:r>
        <w:t>L'appelant principal tend à minimiser son implication dans le trafic de stupéfiants reproché. Il oublie de mentionner qu'il n'est pas un néophyte en la matière ainsi qu'en témoignent ses condamnations de 2012 et 2013, celle-là étant particulièrement lourde. Il ne s'est pas contenté de stocker des stupéfiants mais d'assurer leur conditionnement en vue de leur vente, disposant de tout le matériel nécessaire à cet effet. La remise de drogue par un fournisseur, dans des circonstances restées obscures, n'a pu se faire que dans le cadre d'un rapport de confiance et contre paiement, cash ou différé. Il y a ainsi de forts indices que l'argent saisi soit en lien avec le commerce de stupéfiants même s'il est exact que le Ministère public n'a pas établi que l'appelant principal était actif dans le commerce des stupéfiants dans les jours, semaines ou mois ayant précédé son interpellation, sinon de manière modeste comme en atteste la vente reconnue puis niée de deux boulettes de cocaïne. Que l'appelant principal ne soit pas le propriétaire de l'argent saisi ne suffit pas à douter du bien-fondé de la confiscation opérée. Il aurait en tout état été bien peu vraisemblable que cet argent eût appartenu à l'appelant principal au regard de ses gains professionnels plus que modestes. La manière rocambolesque dont l'argent aurait été confié - l'équivalent de plus de CHF 15'000.- ayant été donné par un inconnu sans motif déclaré -, la diversité des valeurs en monnaies suisse et étrangères, le milieu des stupéfiants dans lequel a évolué l'appelant principal sont autant d'éléments qui confortent la juridiction d'appel dans le fait que cet argent est en tout état de provenance délictueuse, sans qu'il ne soit nécessaire d'opérer une distinction selon le lieu de l'entreposage des fonds saisis. Il en est a fortiori de même de l'argent saisi sur sa personne, le revirement de l'appelant principal ne reposant sur rien de concret, ce qu'il admet lui-même en reconnaissant que la police ne l'a pas maltraité. Au demeurant, ce n'était pas la première fois qu'il se faisait interpeller, de sorte qu'il n'avait pas à éprouver des craintes particulières. Au regard de ce qui précède, la confiscation de toutes les valeurs saisies sera confirmée de la manière dont le premier juge l'a ordonné. L'appelant principal est peu convaincant quand il cherche à prouver que son colocataire ment sur son séjour à Genève en 2014. Le témoignage du colocataire est fiable, sans qu'on puisse lui imputer la volonté de chercher à nuire à l'appelant principal. Aucun contentieux ne les oppose et le témoin n'a pas varié dans ses dépositions, même lors de la confrontation. L'appelant principal n'a pas cherché à contrecarrer les détails fournis sur la répartition des charges entre eux. La quittance pour un mois de loyer au Sénégal à fin 2014-début 2015 ne saurait représenter un obstacle dirimant à la conclusion qui précède. Rien, et en tout cas pas le nom mentionné sur le document, n'établit que ladite quittance concerne l'appelant principal, en plus du fait que celui-ci a pu effectuer un déplacement pour les fêtes de fin d'année sans préjudice de la violation en 2014 de la LEtr. Une telle conclusion irait d'ailleurs de pair avec les observations du colocataire au sujet des "voyages" de l'appelant principal. L'appelant joint souhaiterait que la peine soit fixée à 18 mois. C'est oublier que le Ministère public n'a pas cherché à démontrer que l'appelant principal était impliqué dans un trafic de stupéfiants de grande envergure et qui aurait débuté bien avant son interpellation. Aucun rétroactif téléphonique n'a été ordonné pas plus qu'une analyse du taux de pureté et des caractéristiques chimiques des stupéfiants saisis. Il n'appartient pas au prévenu de prouver que son implication se limite au stockage et à la préparation de boulettes de cocaïne en vue de leur vente. Rien dans le dossier ne permet d'établir une implication plus large, dans le temps et/ou dans la hiérarchie des trafiquants. Certes, des indices allant dans ce sens figurent dans la procédure mais l'accusation n'a pas cherché à l'établir comme cela lui incombait. Dans ces conditions, la peine de 12 mois infligée à l'appelant principal correspond aux critères posés par l'art. 47 CP et la jurisprudence rendue en matière de violation de la LStup. La peine est adéquate en tant qu'elle repose sur un trafic de cocaïne dont la durée n'a pas dépassé quelques jours et portant sur une quantité limitée. Certes, dans cette hypothèse favorable au prévenu, son implication dénote une intention délictueuse marquée. La peine repose aussi sur des violations de la LEtr beaucoup plus longues et significatives, même en retranchant de la durée du séjour illégal le droit pour un citoyen européen de séjourner en Suisse sans autorisation. Le concours des infractions fonde une aggravation de la peine. Comme facteur à charge figurent encore les antécédents de l'appelant principal, dont deux sont spécifiques en matière de violation de la LStup. La collaboration de l'appelant principal est restée moyenne, sa reconnaissance des faits constitutifs de violation de la LStup pouvant difficilement être mise à son actif au vu du flagrant délit qui n'autorisait guère une autre appréciation. A cet égard, la revendication tenant à la prise en compte de la circonstance atténuante du repentir sincère tient de la galéjade, tant l'appelant principal a cherché à minimiser son rôle au point de traiter le témoin de menteur et d'inventer un sentiment de peur au moment de son passage dans les locaux de la police. Au demeurant, l'appelant principal n'a rien révélé de la personne de son fournisseur ou de celle du propriétaire des fonds qui permette à la police de poursuivre ses investigations. A se référer aux récidives intervenues à bref intervalle, dont deux sont pleinement spécifiques, le pronostic ne peut être que largement défavorable. Rien dans les projets de l'appelant principal – d'ailleurs non étayés - ne permet de tenir pour justifiée une réduction du risque de récidive, tant il est vrai que la situation du prévenu ne sera à l'issue de sa peine de prison guère différente de ce qu'elle était après l'exécution des précédentes peines. La nouvelle peine qui lui est infligée n'est pas en soi suffisamment dissuasive pour que la CPAR puisse se passer de la révocation de la condamnation intervenue en 2013, de la manière dont le premier juge l'a décidé. Aussi celle-là sera-t-elle révoquée, à l'instar de la libération conditionnelle eu égard à la récidive intervenue durant le délai d'épreuve qui témoigne de la trahison de la confiance mise en lui par le TAPEM. Là aussi, le pronostic ne peut être que défavorable. Tant l'appelant principal que l'appelant joint seront ainsi déboutés de leurs conclusions. 4. L'appelant principal qui succombe, sinon sur ses conclusions tendant au rejet de l'appel joint, supportera les frais de la procédure envers l'État, à raison de trois quarts (art. 428 CPP), lesquels comprennent un émolument de procédure de CHF 2'500.- (art. 14 al. 1 let. e du Règlement fixant le tarif des frais en matière pénale du 22 décembre 2010 [RTFMP ; E 4 10.03]). L'appelant joint succombe dans la même mesure. Vu sa qualité, le solde des frais de la procédure d'appel sera laissé à la charge de l'Etat. 5. 5 .1 Les frais imputables à l'assistance juridique pour la défense d'office (art. 135 al. CPP)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En cas d'assujettissement, l'équivalent de la TVA est versé en sus. 5.2.2 À teneur de la jurisprudence, est décisif pour fixer la rémunération de l'avocat, le nombre d'heures nécessaires pour assurer la défense d'office du prévenu (arrêt du Tribunal fédéral 2C_509/2007 du 19 novembre 2007 consid. 4).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 L'avocat [doit] ainsi veiller au respect du principe de proportionnalité (R. Hauser / E. Schweri / K. Hartmann, Schweizerisches Strafprozessrecht , 6 e éd., Bâle 2005, no 5 ad § 109).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 L'activité qui n'est pas nécessaire à la défense devant les autorités cantonales n'est pas couverte par l'assistance juridique cantonale.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 AARP/331/2015 du 27 juillet 2015 et autres). 5.2.4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5.3 En l'occurrence, considéré dans sa globalité, l'état de frais produit par le défenseur d'office de A______ paraît adéquat et conforme aux principes qui précèdent, sous réserve de la conférence programmée après les débats d'appel qui ne rentre pas dans la couverture de l'assistance juridique, de sorte qu'il n'est pas nécessaire de reprendre le détail des postes qui le composent. Un quart d'heure sera ajouté pour tenir compte de la durée effective de l'audience. Aussi l'indemnité requise par le défenseur d'office sera-t-elle admise à hauteur de CHF 2'916.-, ce montant correspondant à 11h15 d'activité, y compris la durée de l'audience, au tarif de CHF 200.-/heure [CHF 2'250.-], plus la majoration forfaitaire de 20 % [CHF 450.-] et l'équivalent de la TVA au taux de 8% [CHF 216.-]. ******</w:t>
      </w:r>
    </w:p>
    <w:p>
      <w:r>
        <w:rPr>
          <w:b/>
        </w:rPr>
        <w:t>E. 6</w:t>
      </w:r>
    </w:p>
    <w:p>
      <w:r>
        <w:t>CP prévoit que si, en raison de la nouvelle infraction, les conditions d'une peine ferme sont réunies et que celle-ci, entre en concours avec le solde de la peine devenu exécutoire à la suite de la révocation, le juge prononce, en vertu de l'art. 49 CP, une peine d'ensemble.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