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P/16220/2010 vom 6. August 2012</w:t>
      </w:r>
    </w:p>
    <w:p>
      <w:r>
        <w:t>GE Cour de justice, 2012-08-06, FR</w:t>
      </w:r>
    </w:p>
    <w:p>
      <w:r>
        <w:rPr>
          <w:b/>
        </w:rPr>
        <w:t xml:space="preserve">Quelle: </w:t>
      </w:r>
      <w:r>
        <w:t>https://mcp.opencaselaw.ch/entscheid/ge_gerichte_P_16220_2010</w:t>
      </w:r>
    </w:p>
    <w:p>
      <w:r>
        <w:t>FR: GE_GERICHTE P/16220/2010 du 6 août 2012</w:t>
      </w:r>
    </w:p>
    <w:p>
      <w:r>
        <w:t>IT: GE_GERICHTE P/16220/2010 del 6 agosto 2012</w:t>
      </w:r>
    </w:p>
    <w:p>
      <w:pPr>
        <w:pStyle w:val="Heading2"/>
      </w:pPr>
      <w:r>
        <w:t>Regeste</w:t>
      </w:r>
    </w:p>
    <w:p>
      <w:r>
        <w:t>; FIXATION DE LA PEINE ; RESPONSABILITÉ(DROIT PÉNAL) ; TENTATIVE(DROIT PÉNAL) ; MESURE THÉRAPEUTIQUE INSTITUTIONNELLE ; FRAIS DE LA PROCÉDURE | CPP.341.2; CP.47; CP.19.2; CP.22; CP.60; CP.56; CP.63; CPP.428</w:t>
      </w:r>
    </w:p>
    <w:p>
      <w:pPr>
        <w:pStyle w:val="Heading2"/>
      </w:pPr>
      <w:r>
        <w:t>Erwägungen</w:t>
      </w:r>
    </w:p>
    <w:p>
      <w:r>
        <w:rPr>
          <w:b/>
        </w:rPr>
        <w:t>E. 1.1</w:t>
      </w:r>
    </w:p>
    <w:p>
      <w:r>
        <w:t>Les art. 398 et 399 CPP règlent les modalités du dépôt d'un appel, l'annonce devant en être faite dans les dix jours dès la communication du jugement, et être suivie d'une déclaration dans les vingt jours dès la notification du jugement motivé. L'art. 400 al. 3 CPP prévoit que dans les 20 jours à compter de la réception de la déclaration d'appel, les parties peuvent déclarer par écrit un appel joint. L'appel joint n'est pas limité par l'appel principal sauf si celui-ci porte exclusivement sur les conclusions civiles du jugement (art. 401 al. 2 CPP). Selon l'art. 391 al. 2 CPP, l'autorité de recours ne peut modifier une décision au détriment du prévenu ou du condamné si le recours interjeté uniquement en leur faveur. Un recours ou un recours joint du Ministère public a pour effet de mettre en échec la règle de l'interdiction de la reformatio in peius (A. KUHN / Y. JEANNERET (éds), Commentaire romand : Code de procédure pénale suisse , Bâle 2011, n. 3 ad art. 391 CPP).</w:t>
      </w:r>
    </w:p>
    <w:p>
      <w:r>
        <w:rPr>
          <w:b/>
        </w:rPr>
        <w:t>E. 1.2</w:t>
      </w:r>
    </w:p>
    <w:p>
      <w:r>
        <w:t>L'appelant principal conclut à l'irrecevabilité de l'appel joint soutenant que le Ministère public n'a formé appel joint que pour obtenir le retrait de son propre appel en violation du principe de l'interdiction de la reformatio in peius . En l'occurrence, le Ministère public a fait usage de la faculté que le CPP lui accorde en tant que partie à la procédure de déclarer un appel joint conformément à l'art. 400 al. 3 CPP. Aucun élément ne permet de conclure qu'il adopterait de cette manière une stratégie de procédure intimidante ou abusive même si l'appel joint a pour conséquence de mettre en échec la principe de l'interdiction de la reformatio in peius . Les appels sont dès lors recevables pour avoir été interjetés et motivés selon la forme et dans les délais prescrits (art. 398 et 399 CPP).</w:t>
      </w:r>
    </w:p>
    <w:p>
      <w:r>
        <w:rPr>
          <w:b/>
        </w:rPr>
        <w:t>E. 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 porte principalement sur la peine infligée au prévenu qui conclut à une réduction de celle-ci. L'appelant sur appel joint sollicite une peine privative de liberté de 8 ans.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2.1.2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 2.2.1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(arrêts du Tribunal fédéral 6B_741/2010 du 9 novembre 2010 consid. 3.1.2 et 6B_1092/2009 du 22 juin 2010 consid. 2.2.2). 2.2.2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 2.2.3 Le juge atténue également la peine lorsque l'auteur a manifesté par des actes un repentir sincère. Le repentir sincère visé à l'art. 48 lit. d CP suppose une prise de conscience du caractère répréhensible de l'infraction et un changement d'état d'esprit sincère du délinquant Le repentir sincère n'est réalisé que si l'auteur a adopté un comportement particulier, désintéressé et méritoire. L'auteur doit avoir agi de son propre mouvement (ATF 107 IV 98 consid. 1 p. 99 et les références citées ; arrêt du Tribunal fédéral 6B_622/2007 du 8 janvier 2008 consid. 3.2). 2.2.4 La jurisprudence considère qu’il y a également lieu d’atténuer la peine en cas de publications dans les médias pouvant porter atteinte aux droits de la défense de l’auteur, pour autant qu’il existe une pression médiatique d’une certaine intensité ayant conduit à le préjuger (ATF 128 IV 97 consid. 3b/aa et bb p. 105s).</w:t>
      </w:r>
    </w:p>
    <w:p>
      <w:r>
        <w:rPr>
          <w:b/>
        </w:rPr>
        <w:t>E. 2.3</w:t>
      </w:r>
    </w:p>
    <w:p>
      <w:r>
        <w:t>Les infractions reprochées à l’appelant principal sont passibles du même genre de peine. Le meurtre est puni d'une peine privative de liberté de cinq ans au moins (art. 111 CP). Celui qui, sans scrupules, met autrui en danger de mort imminent est puni d'une peine privative de liberté de cinq ans au plus ou d'une peine pécuniaire (art. 129 CP). Les lésions corporelles graves sont passibles d'une peine privative de liberté de 10 ans au plus ou d'une peine pécuniaire de 180 jours-amende au moins.</w:t>
      </w:r>
    </w:p>
    <w:p>
      <w:r>
        <w:rPr>
          <w:b/>
        </w:rPr>
        <w:t>E. 2.4</w:t>
      </w:r>
    </w:p>
    <w:p>
      <w:r>
        <w:t>En l'espèce, la faute de l'appelant principal est lourde. Il s’en est pris à deux biens juridiques particulièrement importants, soit la vie et l’intégrité corporelle, au moyen d’une arme de poing. Se sentant humilié, il n'a pas hésité à rentrer chez lui, à se saisir de son pistolet, à le remplir de cartouches, à redescendre, à le charger, à viser puis à tirer une balle en direction d'un groupe de quatre jeunes avec lesquels il n'avait eu qu'une simple altercation, démontrant ainsi une forte et réelle intensité délictuelle, sachant qu'à chaque étape il a eu la possibilité de renoncer. Il a manqué tuer une jeune femme et a blessé un jeune homme à la joue. Ce n’est que par chance qu'un résultat plus grave encore ne se soit pas produit. S’il est vrai que l’une des infractions qui lui est reprochée n’a été que tentée, cela n’en est pas pour autant attribuable à un désistement. Les actes de l'appelant principal ont eu des conséquences dramatiques sur les parties plaignantes, toutes très jeunes au moment des faits, tant sur un plan physique que psychique. La plaignante A______ a failli mourir et doit vivre avec une balle logée dans sa boîte crânienne. Elle souffre d'une surdité complète et irréversible à gauche, d'une paralysie faciale du côté gauche du visage et de troubles de la coordination du côté gauche, avec une faible possibilité d'amélioration. Elle présente une absence partielle de goût et un déséquilibre dans la démarche. L'accès à des sports impliquant un risque de chute ne lui est plus possible et ses déplacements géographiques sont limités, ce qui constitue une altération profonde de son bien être et de l'engagement social pour une jeune fille encore dans l'adolescence. Le plaignant C______ gardera une cicatrice importante et visible sur son visage et souffre de conséquences psychiques importantes tout comme la plaignante D______. Les infractions concourent entre elles au sens de l'art. 49 CP. Les mobiles de l’appelant principal, vils et futiles, relèvent de la colère mal maitrisée et d'un manque de contrôle de soi-même. Rien dans la situation personnelle de l'appelant principal ne justifiait une telle violence même si au moment des faits, il n'avait pas de situation professionnelle stable. Il a un antécédent relativement ancien et peu spécifique. A l’instar des premiers juges, il sera retenu en sa faveur que l'appelant a spontanément appelé les secours, qu'il n'a opposé aucune résistance à son interpellation et que sa collaboration à l'enquête a été bonne. Il a également été mis au bénéfice d'une responsabilité légèrement restreinte. Selon l'expertise, il présentait au moment des faits un trouble de la personnalité mixte, avec traits immatures et dyssociaux, une intoxication aiguë à l'alcool et aux benzodiazépines, avec un syndrome de dépendance à ces deux substances, d'une intensité globalement moyenne. Au moment d'agir, il ne possédait pleinement ni la faculté d'apprécier le caractère illicite de son acte, ni la faculté de se déterminer d'après cette appréciation. L'appelant principal a également fait preuve d'un repentir sincère et a été mis par les premiers juges au bénéfice de la circonstance atténuante de l’art. 48 let. d CP, ce qui n'a pas été contesté sur appel joint. Au surplus, c’est à juste titre que le Tribunal criminel n’a pas tenu compte, à décharge de l’appelant principal, des différentes publications, articles et reportages télévisuels sur cette affaire. Ils n’ont en effet pas exercé une pression médiatique suffisamment forte permettant de préjuger de la culpabilité de l'appelant principal, au demeurant non contestée. Les coupures de presse figurant au dossier sont certes nombreuses, et témoignent d'un intérêt soutenu pour la procédure en cours. Il y est souvent fait allusion au "tireur de I______" mais aucune d'entre elles n’appelle publiquement à la condamnation de l'appelant principal. Il n'y a dès lors pas eu violation de la présomption d'innocence du fait de la presse. Enfin, la Cour de céans ne se livrera pas à des comparaisons avec d'autres affaires présentant des similitudes avec la présente procédure, au vu des difficultés et des aléas relevés par la jurisprudence.</w:t>
      </w:r>
    </w:p>
    <w:p>
      <w:r>
        <w:rPr>
          <w:b/>
        </w:rPr>
        <w:t>E. 2.5</w:t>
      </w:r>
    </w:p>
    <w:p>
      <w:r>
        <w:t>Au regard de l’ensemble de ces éléments, la peine privative de liberté de cinq ans et demi fixée par les premiers juges apparaît adéquate et le jugement entrepris sera dès lors confirmé. Les conclusions de l'appelant principal et de l'appelant sur appel joint, qui n'obtiennent formellement pas gain de cause, la quotité de la peine restant la même, seront rejetées.</w:t>
      </w:r>
    </w:p>
    <w:p>
      <w:r>
        <w:rPr>
          <w:b/>
        </w:rPr>
        <w:t>E. 3</w:t>
      </w:r>
    </w:p>
    <w:p>
      <w:r>
        <w:t>L’appelant principal conclut à ce qu’une mesure de traitement des addictions au sens de l’art. 60 CP soit ordonnée,</w:t>
      </w:r>
    </w:p>
    <w:p>
      <w:r>
        <w:rPr>
          <w:b/>
        </w:rPr>
        <w:t>E. 3.1</w:t>
      </w:r>
    </w:p>
    <w:p>
      <w:r>
        <w:t>A teneur de l'article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w:t>
      </w:r>
    </w:p>
    <w:p>
      <w:r>
        <w:rPr>
          <w:b/>
        </w:rPr>
        <w:t>E. 3.2</w:t>
      </w:r>
    </w:p>
    <w:p>
      <w:r>
        <w:t>Les art. 59 et 60 CP prévoient des mesures thérapeutiques institutionnelles pour les délinquants souffrant de graves troubles mentaux ou d’addictions diverses. S’agissant en particulier du traitement des addictions prévu à l’art. 60 CP, l’auteur doit avoir commis un crime ou un délit en rapport avec son état, le traitement devant être susceptible de le détourner de la commission d’autres infractions en relation avec cet état (art. 60 al. 1 CP). Le juge doit en outre tenir compte de la demande et de la motivation de l’auteur (art. 60 al. 2 CP). En application du principe de proportionnalité, le juge peut ordonner un traitement ambulatoire (art. 63 CP), cette mesure étant moins incisive qu’un traitement institutionnel. L'art. 63 al. 1 CP dispose que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L'art. 63 al. 4 CO prévoit que le traitement ambulatoire ne peut en principe excéder cinq ans, sauf s'il apparaît nécessaire de le prolonger pour prévenir la commission de nouvelles infractions. 3.3.1 La mesure prononcée doit se fonder sur une expertise (art. 56 al. 3 CP) et respecter le principe de la proportionnalité (art. 56 al. 2 CP). La jurisprudence a eu l'occasion de préciser qu'il faut que l'atteinte aux droits de la personnalité qui résulte de la mesure pour l'auteur ne soit pas disproportionnée au regard de la vraisemblance qu'il commette de nouvelles infractions et de leur gravité (art. 56 al. 2 CP; arrêt du Tribunal fédéral 6B_555/2008 du 23 septembre 2008 consid. 2.1; arrêt du Tribunal fédéral 6B_604/2007 du 9 janvier 2008 consid. 6.2). 3.3.2 Le juge n’est en principe pas lié par le résultat d’une expertise (arrêt du Tribunal fédéral 6B_993/2010 du 10 février 2011 consid. 3.2.1). S’il entend s’en écarter, il doit motiver sa décision, sous peine de verser dans l’arbitraire, ce qui n’est pas le cas lorsque des circonstances bien établies viennent en ébranler la crédibilité (ATF 129 I 49 consid. 4 p. 57 ; ATF 128 I 81 consid. 2 p. 86), notamment lorsque l’expertise contient des contradictions et qu’une détermination ultérieure de son auteur vient la contredire sur des points importants ou qu’elle se fonde sur des pièces et des témoignages dont le juge apprécie autrement la valeur probante ou la portée (ATF 101 IV 129 consid. 3a p. 130). En revanche, si les conclusions d’une expertise judiciaire apparaissent douteuses sur des points essentiels, le juge doit recueillir des preuves complémentaires pour tenter de dissiper ses doutes (ATF 118 Ia 144 consid. 1c p. 146).</w:t>
      </w:r>
    </w:p>
    <w:p>
      <w:r>
        <w:rPr>
          <w:b/>
        </w:rPr>
        <w:t>E. 3.4</w:t>
      </w:r>
    </w:p>
    <w:p>
      <w:r>
        <w:t>L'appelant principal présente depuis de nombreuses années des périodes de dépendance à différentes substances. Il souffrait au moment des faits d'un trouble de la personnalité mixte et d'une dépendance à l'alcool et aux benzodiazépines d'une sévérité moyenne qui n'avait toutefois pas été causale dans l'acte commis. Le traitement ambulatoire alliant psychothérapie et contrôles biologiques aléatoires de l'abstinence est compatible avec l'exécution d'une peine privative de liberté et correspond à celui préconisé par l'expert dans son rapport duquel il n'y a pas lieu de s'écarter. Une hospitalisation ne semble pas justifiée, le traitement recommandé étant à même d'atténuer le risque de récidive lié à la personnalité de l'appelant principal, aux risques de dépendances et aux facteurs psychosociaux et professionnels que ce dernier trouverait à sa sortie de prison. Selon le certificat médical du 17 novembre 2011 de l'unité de psychiatrie pénitentiaire, l'appelant principal était en cours de sevrage d'un traitement à la méthadone et suivait une psychothérapie une fois par semaine et une consultation de psychiatrie deux fois par mois. Le dernier certificat médical produit qui date de mars 2012 précise encore qu'il était sevré de méthadone et souhaitait rester abstinent malgré ses envies de consommer des stupéfiants et prenait un traitement de Xanax en substitution de sa dépendance aux benzodiazépines. La situation de l'appelant principal semble donc évoluer favorablement. Le traitement ambulatoire ordonné par les premiers juges apparaît ainsi adéquat et suffisant au regard du trouble de la personnalité de l'appelant principal ainsi que de ses addictions et semble propre à prévenir le risque de récidive. Cette mesure sera dès lors confirmée et les conclusions de l'appelant principal sur ce point rejetées.</w:t>
      </w:r>
    </w:p>
    <w:p>
      <w:r>
        <w:rPr>
          <w:b/>
        </w:rPr>
        <w:t>E. 4</w:t>
      </w:r>
    </w:p>
    <w:p>
      <w:r>
        <w:t>L'appelant principal succombe intégralement, à l'instar de l'appelant sur appel joint. Il supportera en partie les frais de la procédure envers l'État (art. 428 CPP). L'appelant principal sera condamné à la moitié des frais de la procédure d'appel, qui comprendront un émolument de CHF 2'000.- (art. 14 al. 1 let. e du règlement fixant le tarif des frais en matière pénale ; E 4 10.03). Le solde sera laissé à la charge de l'Etat. Il n'y a pas lieu d'octroyer une participation aux frais des parties plaignantes puisque le litige portait en appel uniquement sur la question de la peine infligée, au sujet de laquelle les parties plaignantes n'étaient pas habilitées à s'exprimer.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