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P/16210/2012 vom 19. Dezember 2014</w:t>
      </w:r>
    </w:p>
    <w:p>
      <w:r>
        <w:t>GE Cour de justice, 2014-12-19, FR</w:t>
      </w:r>
    </w:p>
    <w:p>
      <w:r>
        <w:rPr>
          <w:b/>
        </w:rPr>
        <w:t xml:space="preserve">Quelle: </w:t>
      </w:r>
      <w:r>
        <w:t>https://mcp.opencaselaw.ch/entscheid/ge_gerichte_P_16210_2012</w:t>
      </w:r>
    </w:p>
    <w:p>
      <w:r>
        <w:t>FR: GE_GERICHTE P/16210/2012 du 19 décembre 2014</w:t>
      </w:r>
    </w:p>
    <w:p>
      <w:r>
        <w:t>IT: GE_GERICHTE P/16210/2012 del 19 dicembre 2014</w:t>
      </w:r>
    </w:p>
    <w:p>
      <w:pPr>
        <w:pStyle w:val="Heading2"/>
      </w:pPr>
      <w:r>
        <w:t>Regeste</w:t>
      </w:r>
    </w:p>
    <w:p>
      <w:r>
        <w:t>PRÉSOMPTION D'INNOCENCE; IN DUBIO PRO REO; VIOL; ACTE D'ORDRE SEXUEL; CONTRAINTE(DROIT PÉNAL); CONCOURS D'INFRACTIONS; DÉFENSE D'OFFICE; FRAIS DE LA PROCÉDURE | Cst.32.1; CPP.10.3; CP.190.1; CP.187.1; CP.181; CP.49; CPP.138; CPP.422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Des doutes abstraits ou théoriques, qui sont toujours possibles, ne suffisent cependant pas à exclure une condamnation.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124 IV 86 consid. 2a p. 87 s.; 120 Ia 31 consid. 2 p. 33 ss). Lorsqu'il est confronté à des versions contradictoires, il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De même, il n'y a pas arbitraire du seul fait qu'un ou plusieurs arguments corroboratifs sont fragiles, si la solution retenue peut être justifiée de façon soutenable par un ou plusieurs arguments de nature à emporter la conviction (ATF 129 I 8 ).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Dans le cadre du principe de libre appréciation des preuves, rien ne s'oppose non plus à ne retenir qu'une partie des déclarations d'un témoin globalement crédible (ATF 120 Ia 31 consid. 3, spéc. p. 39). 2.2.1.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viol est un délit de violence, qui suppose en règle générale une agression physique. Il en résulte que toute pression, tout comportement conduisant à un acte sexuel non souhaité ne saurait être qualifié de contrainte. L'art. 190 CP, comme l'art. 189 CP (contrainte sexuelle), ne protège des atteintes à la libre détermination en matière sexuelle que pour autant que l'auteur surmonte ou déjoue la résistance que l'on pouvait raisonnablement attendre de la victime (ATF 133 IV 49 consid. 4 p. 52 ; ATF 131 IV 167 consid. 3.1 p. 170). L'infraction visée par l'art. 190 CP exige donc non seulement qu'une personne subisse l'acte sexuel alors qu'elle ne le veut pas, mais également qu'elle le subisse du fait d'une contrainte exercée par l'auteur. À défaut d'une telle contrainte, de l'intensité exigée par la loi et la jurisprudence, et même si la victime ne souhaitait pas entretenir une relation sexuelle, il n'y a pas viol (arrêts du Tribunal fédéral 6B_710/2012 du 3 avril 2013 consid. 3.1 et 6B_311/2011 du 19 juillet 2011 consid. 5.2). Les pressions d'ordre psychique visent les cas où l'auteur provoque chez la victime des effets d'ordre psychique, tels que la surprise, la frayeur ou le sentiment d'une situation sans espoir, propres à la faire céder (ATF 128 IV 106 consid. 3a/bb p. 111 ; ATF 122 IV 97 consid. 2b p. 100).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p. 170 ss). 2.2.2. L’art. 187 ch. 1 CP sanctionne celui qui aura commis un acte d’ordre sexuel sur un enfant de moins de seize ans, celui qui aura entraîné un enfant de cet âge à commettre un tel acte ainsi que celui qui y aura mêlé un enfant de cet âge. L’acte sexuel, selon la définition donnée ci-dessus (ch. 2.2), doit être commis avec un enfant de moins de seize ans, de sorte que celui-ci ne doit pas avoir achevé sa seizième année, peu importe qu’il ait ou non consenti à l’acte (B. CORBOZ, Commentaire romand, CP I, 2009, n. 14 et 17 ad art. 187 CP). L’infraction est intentionnelle, l’intention devant porter non seulement sur le caractère sexuel de l’acte, mais aussi sur le fait que la victime est âgée de moins de seize ans, le dol éventuel étant suffisant. L’art. 187 CP protège le développement des mineurs mais non leur libre détermination en matière sexuelle. En conséquence, cette disposition est appliquée en concours avec l’art. 189 ou 190 CP (B. CORBOZ, op. cit., n. 60 ad art. 187). 2.2.3. 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ATF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 Selon la jurisprudence fédérale, il n’est pas exclu que la contrainte au sens de l'art. 181 CP soit réalisée par plusieurs comportements distincts de l'auteur. Toutefois, en l'absence d'une norme spécifique réprimant de tels faits en tant qu'ensemble d'actes formant une unité, l'art. 181 CP suppose que le comportement incriminé oblige la victime à agir, tolérer ou omettre et ce résultat doit apparaître comme celui d'une contrainte déterminée (ATF 129 IV 262 consid. 2.4 p. 266 ss ; arrêt du Tribunal fédéral 6B_97/2013 du 15 avril 2013 consid. 3.2). 2.3.1. En l’espèce, l’intimée B______ a soutenu une version des faits cohérente et constante, sans exagération, depuis ses premières déclarations à la police jusqu'à celles faites lors de l'audience de jugement. D’ailleurs, la partie plaignante, qui a décrit dans le détail le déroulement d’une relation amoureuse avec un homme plus âgé, n’est pas à l’origine du dépôt de plainte et n’a jamais été animée par un quelconque sentiment de vengeance, les faits ayant été dénoncés par sa mère, sur initiative d’une assistante sociale de l’Hôpital cantonal, ce qui est confirmé par un courrier de la Dresse O______. B______ s’est exprimée longuement à la police, et a complété ses déclarations suite aux questions qui lui ont été posées par l'inspectrice qui prenait sa déposition. A ce stade, la partie plaignante s'est livrée sans réserve et avec discernement, fournissant de nombreux détails. Par la suite, les déclarations de la partie plaignante ont progressé au fur et à mesure de l'évolution de la procédure, toujours dans le cadre d'un même fil conducteur, s'enrichissant seulement des souvenirs qui pouvaient se raviver en fonction des questions qui lui étaient posées ou des précisions qu'elle ajoutait. Les détails fournis sont nombreux et pour certains difficiles à imaginer, comme la crème sur le pénis du prévenu, la pose d’un matelas dans le salon de l’appartement, l’utilisation du prénom « P______ », l’existence d’un studio dans lequel elle avait eu un seul rapport sexuel avec l’appelant ou encore la réaction de ce dernier au sujet de sa virginité. En outre, l’enquête a révélé de nombreux éléments de concordance avec le récit de la plaignante. Ainsi, les déclarations de l’infirmière et de la doctoresse scolaires corroborent la version de l’intimée B______ selon laquelle elle entretenait des rapports sexuels avec un homme plus âgé rencontré dans un centre commercial. Il est aussi établi que c’est le numéro de téléphone portable de la jeune fille qui était inscrit sur la feuille en possession des autorités scolaires, à la place du numéro de la mère, et que le médecin scolaire avait bien envoyé une convocation à la mère de l’intimée pour le 26 novembre 2012, qui a été interceptée. La chronologie décrite par la plaignante, d’une rencontre avec l’appelant à fin mars 2012 et d’un premier rapport sexuel intervenu durant les vacances de Pâques, qui avaient eu lieu cette année-là du 5 au 13 avril 2012, s’accorde avec un départ de l’appelant pour le ______ à la fin du mois d’avril. L’intimée B______ avait d’ailleurs indiqué à l’infirmière scolaire que l’appelant se trouvait alors en X______. La procédure a aussi établi que l’appelant utilisait le prénom « P______ », qu’il s’épilait les parties génitales, ou qu’il avait une amie qui habitait dans un studio dans le quartier des ______, correspondant à la description qu’en avait fait la plaignante. Par ailleurs, les absences scolaires de l’intimée passent de zéro à 24 durant l'année scolaire 2011-2012, soit de zéro au premier trimestre 2011 à 20 au troisième trimestre qui s'étend de mars à juin 2012, et coïncident avec la rencontre avec l’appelant. Durant l'année scolaire 2012-2013, ses absences s'élèvent à 66, soit 36 jusqu'à décembre 2012 et 30 jusqu'en mars 2013. Ainsi, la Cour tient pour sincères et cohérentes les déclarations de la plaignante B______, lesquelles n'ont jamais varié sur les faits essentiels. Le fait qu’elle n’ait pas dit toute la vérité aux autorités scolaires, notamment s’agissant de l’usage du préservatif, ou à sa mère, à tout le moins dans un premier temps, est compréhensible dès lors qu’elle voulait éviter une dénonciation, l’aspect pénal de sa relation avec l’appelant lui ayant été signalé par l’infirmière et le médecin scolaires. Quant aux quelques variations sur la fréquence et les heures des rencontres avec l’appelant, elles s’expliquent par la répétition et la durée de la relation, ce qui peut conduire à mélanger certains détails. On relèvera toutefois que, de manière générale, l’intimée a fourni un récit très riche de détails et a fait preuve d’une très bonne mémoire pour les dates, ce qui est compréhensible pour une très jeune fille qui vivait sa première relation sexuelle. A l’inverse, l’appelant n’a pas cessé d’adapter son récit au gré de l'évolution de la procédure, que ce soit s’agissant du studio de son amie E______, du prénom « P______ » ou des circonstances dans lesquelles la plaignante avait pu observer ses parties génitales. Il n’a pas hésité, lors de sa première audition par la police, à fournir un portrait invraisemblable de la jeune B______, laquelle, en sus d’avoir été violée par son beau-père depuis l’âge de 7 ans, l’aurait été aussi par un oncle, et elle serait tombée enceinte d’un garçon de 16 ans, aurait avorté à l’insu de tous, et lui aurait décrit les sexes de ses – nombreux – copains ______. Or, aucun élément du dossier ne vient étayer, ne serait-ce que partiellement, cette description. En particulier, s’agissant des prétendus abus sexuels que l’intimée B______ aurait subis de la part de son beau-père, que la procédure introduite contre l’appelant tenterait de masquer, on relèvera que la victime n’en a pas fait état à l’infirmière et au médecin scolaires, auxquelles elle s’est en revanche confiée sur sa relation avec un homme plus mûr, rencontré dans un centre commercial. En outre, l’intimée B______ a expliqué spontanément, dès sa première audition par la police, que c’est l’appelant qui avait soutenu, se fiant à ce qu’un marabout ______ lui aurait dit, qu’elle couchait avec son père dès l’âge de 7 ans. En ce qui concerne le viol, la plaignante a expliqué, dès sa première audition, que de retour de ses vacances d’été au ______, alors qu’elle ne voulait plus avoir de rapports sexuels avec l’appelant, celui-ci était passé outre son refus, l’avait déshabillée de force, immobilisée, et pénétrée alors qu’elle l’avait repoussé, griffé et pincé et qu’elle pleurait. Les déclarations de l’intimée sont tout aussi crédibles à cet égard, dès lors qu’elle n’avait aucun intérêt à inventer un rapport forcé alors qu’elle a reconnu qu’il ne l’avait jamais contrainte auparavant. Par ailleurs, l’intimée n’a pas elle-même qualifié cet événement de viol, décrivant cet épisode comme un fait parmi d’autres. Enfin, les parties concordent pour dire que leur relation s’était refroidie après le retour de la plaignante des vacances. Pour ces motifs, la Cour retient, à l’instar des premiers juges, que l’appelant a entretenu des rapports sexuels avec l’intimée B______, dont il connaissait l’âge, ce qui ressort des déclarations de son épouse, pendant plusieurs mois et qu’il a, à une reprise en septembre 2012, passé outre le refus, les pleurs et le fait que la plaignante se soit débattue lors d’un rapport sexuel, se rendant coupable de viol (art. 190 CP) et d'actes d'ordre sexuel avec un enfant (art. 187 CP). 2.3.2. S’agissant de la plainte déposée par l’intimée C______, on relèvera d’emblée que l’intéressée a interpellé sa fille, les videurs de la discothèque et la police, en plein milieu de la nuit, soit immédiatement après les faits, et qu’elle était visiblement secouée selon les témoins entendus. Elle n’avait aucune raison d’accuser injustement un homme qu’elle n’avait jamais vu auparavant. En outre, alors que l’appelant admet pratiquer le Vaudou, rien n’indique que l’intimée C______ était une adepte de la voyance, proposant ses services dans ce domaine à un inconnu à sa sortie de discothèque vers 03h00 du matin. L’appelant a soutenu que la plaignante C______ lui avait ouvert la portière du côté passager, puis avait fait le tour de sa voiture pour s’assoir du côté conducteur. Cette version est contredite par les explications fournies par l’intimée, selon lesquelles l’appelant s’était assis sur elle à l’intérieur de sa voiture, du côté passager, la portière du côté conducteur étant bloquée. Or, le témoin L______, qui n’avait aucun intérêt à mentir, a confirmé qu’il avait « collé » son véhicule contre la voiture de l’intimée C______, bloquant ainsi l’ouverture de la portière du côté conducteur. Force est ainsi de constater que les déclarations de la plaignante C______ sont crédibles et corroborées par les autres éléments du dossier, contrairement à celles de l’appelant. Rien n’atteste non plus que ce dernier aurait lui-même voulu appeler la police ou aurait été sur le point de le faire, comme il le soutient. Bien au contraire, après avoir quitté les lieux rapidement, l’appelant s’est opposé à son interpellation par la police à son domicile. En poussant la plaignante dans sa voiture, en y pénétrant ensuite contre la volonté de cette dernière, en s’assoyant sur elle, en la tenant par les poignets et en l’empêchant de s’extraire du véhicule et d’appeler sa fille, l’appelant a entravé illicitement la liberté d’action de la plaignante. C’est ainsi à juste titre que les premiers juges l’ont reconnu coupable de contrainte.</w:t>
      </w:r>
    </w:p>
    <w:p>
      <w:r>
        <w:rPr>
          <w:b/>
        </w:rPr>
        <w:t>E. 2.4</w:t>
      </w:r>
    </w:p>
    <w:p>
      <w:r>
        <w:t>Au vu de ce qui précède, le verdict de culpabilité prononcé en première instance sera entièrement confirmé, étant précisé que l’infraction à la LCR n’est pas contestée en appel.</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3.1.2. D'après l'art. 49 al. 1 CP, si, en raison d'un ou de plusieurs actes, l'auteur remplit les conditions de plusieurs peines de même genre, le juge le condamne à la peine de l'infraction la plus grave et l'augmente dans une juste proportion.</w:t>
      </w:r>
    </w:p>
    <w:p>
      <w:r>
        <w:rPr>
          <w:b/>
        </w:rPr>
        <w:t>E. 3.2</w:t>
      </w:r>
    </w:p>
    <w:p>
      <w:r>
        <w:t>La faute de l’appelant est particulièrement lourde. Par son comportement, il a porté atteinte à des biens juridiques protégés importants pour des mobiles égoïstes consistant à assouvir ses propres envies, au détriment de l’intégrité sexuelle et du développement d’une enfant. Les actes perpétrés à l’encontre de l’intimée B______ se sont déroulés sur une période longue, de près d’un an, alors qu’il en connaissait le caractère illicite pour avoir demandé à la victime de ne pas en parler à des tiers. Il a agi au détriment d'une enfant, sans expérience sexuelle contrairement à lui, en commettant l'acte sexuel complet à maintes reprises alors que cela faisait très souvent mal à la jeune fille, tout en la culpabilisant, alors qu'il savait qu'elle était mineure et qu'il était de presque trente ans son aîné. De plus, il a fait preuve de mépris de la liberté d'autrui en ce qui concerne l’intimée C______ ainsi que de la législation en vigueur en matière de circulation routière et aurait pu mettre la vie d'autrui en danger par son comportement. Sa collaboration doit être qualifiée de mauvaise et son comportement tout au long de la procédure démontre une absence totale de prise de conscience, les rapports médicaux produits en appel ne conduisant pas à une autre appréciation. Son comportement est d’autant moins explicable qu’il bénéficiait du soutien sans faille de son épouse et d’une vie de famille stable, ses difficultés d’ordre professionnel ou médical n’ayant rien de particulier. Les infractions reprochées entrent en concours, étant rappelé que le viol est passible d’une peine privative de liberté pouvant aller jusqu’à 10 ans et les actes d’ordre sexuel avec un enfant d’une peine jusqu’à 5 ans. L’appelant a été mis au bénéfice d’une responsabilité légèrement restreinte, ce qui lui est acquis. La peine privative de liberté de 4 ans fixée en première instance tient compte de l’ensemble des éléments précités et sera confirmée. Une exemption de peine pour l’infraction à la LCR n’entre pas en considération, l’appelant ayant conduit alors que son état d’alcoolisation ne le permettait pas. Le fait qu’il ait initialement voulu rentrer à pied n’y change rien.</w:t>
      </w:r>
    </w:p>
    <w:p>
      <w:r>
        <w:rPr>
          <w:b/>
        </w:rPr>
        <w:t>E. 3.3</w:t>
      </w:r>
    </w:p>
    <w:p>
      <w:r>
        <w:t>La mesure n’étant pas contestée, elle sera confirmée, de même que les conclusions civiles de l’intimée B______.</w:t>
      </w:r>
    </w:p>
    <w:p>
      <w:r>
        <w:rPr>
          <w:b/>
        </w:rPr>
        <w:t>E. 4</w:t>
      </w:r>
    </w:p>
    <w:p>
      <w:r>
        <w:t>Vu l'issue de la procédure d'appel, les prétentions en indemnisation formulées par l’appelant sont infondées et doivent être rejetées (art. 429 CPP). L'appelant, qui succombe, supportera en outre les frais de la procédure envers l'État (art. 428 CPP).</w:t>
      </w:r>
    </w:p>
    <w:p>
      <w:r>
        <w:rPr>
          <w:b/>
        </w:rPr>
        <w:t>E. 5</w:t>
      </w:r>
    </w:p>
    <w:p>
      <w:r>
        <w:t>heures. Par conséquent, l'état de frais sera admis à concurrence de 3 heures d'activité de cheffe d'étude et de 20 heures d’activité de collaboratrice, ce qui correspond à une indemnité de CHF 3'100.-. Il convient d'ajouter à ce montant l'indemnisation forfaitaire de 10 %, fixée en tenant compte de l’ensemble de l’activité déployée par le conseil de la plaignante durant l’instruction préliminaire et la procédure de première instance, qui dépasse 30 heures, soit CHF 310.-, ainsi que la TVA à hauteur de CHF 272.80. * * * * *</w:t>
      </w:r>
    </w:p>
    <w:p>
      <w:r>
        <w:rPr>
          <w:b/>
        </w:rPr>
        <w:t>E. 5.2</w:t>
      </w:r>
    </w:p>
    <w:p>
      <w:r>
        <w:t>L'indemnité est calculée selon le tarif horaire de CHF 200.- pour un chef d'étude et de CHF 125.- pour un avocat collaborateur,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s'inspire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La CPAR a décidé de revenir sur la pratique consistant à allouer aux avocats des victimes une indemnisation forfaitaire de 20% pour les "courriers et téléphones", indépendamment du nombre d'heures effectivement consacré au dossier, estimant qu'il n'y a pas de raison objective de traiter différemment les conseils juridiques gratuits des victimes des défenseurs d'office des prévenus.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5.3</w:t>
      </w:r>
    </w:p>
    <w:p>
      <w:r>
        <w:t>Me D______ a été désignée conseil juridique gratuit de l'intimée B______ le 5 mars 2013. Son état de frais, s'agissant de l'activité déployée devant la juridiction d'appel, est composé de 3 heures 35 d’activité de chef d’étude et de 18 heures d’activité de collaboratrice. L'activité exercée par le conseil de la plaignante dans le cadre de la présente procédure est en adéquation avec la nature, l'importance et la difficulté de la cause. Seules 35 minutes d’activité de cheffe d’étude consacrées à la correspondance doivent être retranchées, car comprises dans le forfait y relatif. Le temps prévu par anticipation pour l’audience du 16 décembre 2014 doit en revanche être porté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